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oter2.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6E4" w:rsidRDefault="00B228FD">
      <w:pPr>
        <w:rPr>
          <w:rFonts w:cs="Tahoma"/>
        </w:rPr>
      </w:pPr>
      <w:r>
        <w:rPr>
          <w:noProof/>
          <w:sz w:val="22"/>
        </w:rPr>
        <mc:AlternateContent>
          <mc:Choice Requires="wps">
            <w:drawing>
              <wp:anchor distT="0" distB="0" distL="114300" distR="114300" simplePos="0" relativeHeight="251712512" behindDoc="0" locked="0" layoutInCell="1" allowOverlap="1">
                <wp:simplePos x="0" y="0"/>
                <wp:positionH relativeFrom="column">
                  <wp:posOffset>-809625</wp:posOffset>
                </wp:positionH>
                <wp:positionV relativeFrom="paragraph">
                  <wp:posOffset>-280035</wp:posOffset>
                </wp:positionV>
                <wp:extent cx="4765675" cy="869950"/>
                <wp:effectExtent l="0" t="0" r="0" b="0"/>
                <wp:wrapNone/>
                <wp:docPr id="27" name="文本框 22"/>
                <wp:cNvGraphicFramePr/>
                <a:graphic xmlns:a="http://schemas.openxmlformats.org/drawingml/2006/main">
                  <a:graphicData uri="http://schemas.microsoft.com/office/word/2010/wordprocessingShape">
                    <wps:wsp>
                      <wps:cNvSpPr txBox="1"/>
                      <wps:spPr>
                        <a:xfrm>
                          <a:off x="0" y="0"/>
                          <a:ext cx="4765559" cy="869950"/>
                        </a:xfrm>
                        <a:prstGeom prst="rect">
                          <a:avLst/>
                        </a:prstGeom>
                        <a:noFill/>
                        <a:ln w="6350">
                          <a:noFill/>
                        </a:ln>
                        <a:effectLst/>
                      </wps:spPr>
                      <wps:txbx>
                        <w:txbxContent>
                          <w:p w:rsidR="00F836E4" w:rsidRDefault="00B228FD">
                            <w:pPr>
                              <w:jc w:val="both"/>
                              <w:rPr>
                                <w:rFonts w:ascii="微软雅黑" w:eastAsia="微软雅黑" w:hAnsi="微软雅黑" w:cs="微软雅黑"/>
                                <w:b/>
                                <w:bCs/>
                                <w:color w:val="70AD47" w:themeColor="accent6"/>
                                <w:spacing w:val="20"/>
                              </w:rPr>
                            </w:pPr>
                            <w:r>
                              <w:rPr>
                                <w:rFonts w:ascii="微软雅黑" w:eastAsia="微软雅黑" w:hAnsi="微软雅黑" w:cs="微软雅黑" w:hint="eastAsia"/>
                                <w:b/>
                                <w:bCs/>
                                <w:noProof/>
                                <w:color w:val="70AD47" w:themeColor="accent6"/>
                                <w:spacing w:val="20"/>
                              </w:rPr>
                              <w:drawing>
                                <wp:inline distT="0" distB="0" distL="114300" distR="114300">
                                  <wp:extent cx="684530" cy="676275"/>
                                  <wp:effectExtent l="0" t="0" r="1270" b="9525"/>
                                  <wp:docPr id="8" name="图片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logo"/>
                                          <pic:cNvPicPr>
                                            <a:picLocks noChangeAspect="1"/>
                                          </pic:cNvPicPr>
                                        </pic:nvPicPr>
                                        <pic:blipFill>
                                          <a:blip r:embed="rId10"/>
                                          <a:stretch>
                                            <a:fillRect/>
                                          </a:stretch>
                                        </pic:blipFill>
                                        <pic:spPr>
                                          <a:xfrm>
                                            <a:off x="0" y="0"/>
                                            <a:ext cx="684530" cy="6762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psCustomData="http://www.wps.cn/officeDocument/2013/wpsCustomData" xmlns:w15="http://schemas.microsoft.com/office/word/2012/wordml">
            <w:pict>
              <v:shape id="文本框 22" o:spid="_x0000_s1026" o:spt="202" type="#_x0000_t202" style="position:absolute;left:0pt;margin-left:-63.75pt;margin-top:-22.05pt;height:68.5pt;width:375.25pt;z-index:251712512;mso-width-relative:page;mso-height-relative:page;" filled="f" stroked="f" coordsize="21600,21600" o:gfxdata="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yFckd3AAAAAsBAAAPAAAAAAAAAAEAIAAAACIAAABkcnMvZG93bnJldi54bWxQSwECFAAU&#10;AAAACACHTuJAK6AzFyYCAAAoBAAADgAAAAAAAAABACAAAAArAQAAZHJzL2Uyb0RvYy54bWxQSwUG&#10;AAAAAAYABgBZAQAAwwUAAAAA&#10;">
                <v:fill on="f" focussize="0,0"/>
                <v:stroke on="f" weight="0.5pt"/>
                <v:imagedata o:title=""/>
                <o:lock v:ext="edit" aspectratio="f"/>
                <v:textbox>
                  <w:txbxContent>
                    <w:p>
                      <w:pPr>
                        <w:jc w:val="both"/>
                        <w:rPr>
                          <w:rFonts w:hint="eastAsia" w:ascii="微软雅黑" w:hAnsi="微软雅黑" w:eastAsia="微软雅黑" w:cs="微软雅黑"/>
                          <w:b/>
                          <w:bCs/>
                          <w:color w:val="70AD47" w:themeColor="accent6"/>
                          <w:spacing w:val="20"/>
                          <w:lang w:eastAsia="zh-CN"/>
                          <w14:textFill>
                            <w14:solidFill>
                              <w14:schemeClr w14:val="accent6"/>
                            </w14:solidFill>
                          </w14:textFill>
                        </w:rPr>
                      </w:pPr>
                      <w:r>
                        <w:rPr>
                          <w:rFonts w:hint="eastAsia" w:ascii="微软雅黑" w:hAnsi="微软雅黑" w:eastAsia="微软雅黑" w:cs="微软雅黑"/>
                          <w:b/>
                          <w:bCs/>
                          <w:color w:val="70AD47" w:themeColor="accent6"/>
                          <w:spacing w:val="20"/>
                          <w:lang w:eastAsia="zh-CN"/>
                          <w14:textFill>
                            <w14:solidFill>
                              <w14:schemeClr w14:val="accent6"/>
                            </w14:solidFill>
                          </w14:textFill>
                        </w:rPr>
                        <w:drawing>
                          <wp:inline distT="0" distB="0" distL="114300" distR="114300">
                            <wp:extent cx="684530" cy="676275"/>
                            <wp:effectExtent l="0" t="0" r="1270" b="9525"/>
                            <wp:docPr id="8" name="图片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logo"/>
                                    <pic:cNvPicPr>
                                      <a:picLocks noChangeAspect="1"/>
                                    </pic:cNvPicPr>
                                  </pic:nvPicPr>
                                  <pic:blipFill>
                                    <a:blip r:embed="rId11"/>
                                    <a:stretch>
                                      <a:fillRect/>
                                    </a:stretch>
                                  </pic:blipFill>
                                  <pic:spPr>
                                    <a:xfrm>
                                      <a:off x="0" y="0"/>
                                      <a:ext cx="684530" cy="676275"/>
                                    </a:xfrm>
                                    <a:prstGeom prst="rect">
                                      <a:avLst/>
                                    </a:prstGeom>
                                  </pic:spPr>
                                </pic:pic>
                              </a:graphicData>
                            </a:graphic>
                          </wp:inline>
                        </w:drawing>
                      </w:r>
                    </w:p>
                  </w:txbxContent>
                </v:textbox>
              </v:shape>
            </w:pict>
          </mc:Fallback>
        </mc:AlternateContent>
      </w:r>
      <w:r>
        <w:rPr>
          <w:rFonts w:cs="Tahoma"/>
          <w:noProof/>
        </w:rPr>
        <w:drawing>
          <wp:anchor distT="0" distB="0" distL="114300" distR="114300" simplePos="0" relativeHeight="251714560" behindDoc="1" locked="0" layoutInCell="1" allowOverlap="1">
            <wp:simplePos x="0" y="0"/>
            <wp:positionH relativeFrom="column">
              <wp:posOffset>-1256665</wp:posOffset>
            </wp:positionH>
            <wp:positionV relativeFrom="paragraph">
              <wp:posOffset>-941070</wp:posOffset>
            </wp:positionV>
            <wp:extent cx="7631430" cy="10716895"/>
            <wp:effectExtent l="0" t="0" r="13970" b="1905"/>
            <wp:wrapNone/>
            <wp:docPr id="31" name="图片 31" descr="/Users/tacter/Desktop/底图2.jpg底图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Users/tacter/Desktop/底图2.jpg底图2"/>
                    <pic:cNvPicPr>
                      <a:picLocks noChangeAspect="1"/>
                    </pic:cNvPicPr>
                  </pic:nvPicPr>
                  <pic:blipFill>
                    <a:blip r:embed="rId12"/>
                    <a:srcRect/>
                    <a:stretch>
                      <a:fillRect/>
                    </a:stretch>
                  </pic:blipFill>
                  <pic:spPr>
                    <a:xfrm>
                      <a:off x="0" y="0"/>
                      <a:ext cx="7631430" cy="10716895"/>
                    </a:xfrm>
                    <a:prstGeom prst="rect">
                      <a:avLst/>
                    </a:prstGeom>
                  </pic:spPr>
                </pic:pic>
              </a:graphicData>
            </a:graphic>
          </wp:anchor>
        </w:drawing>
      </w:r>
    </w:p>
    <w:p w:rsidR="00F836E4" w:rsidRDefault="00B228FD">
      <w:pPr>
        <w:jc w:val="center"/>
        <w:rPr>
          <w:rFonts w:cs="Tahoma"/>
        </w:rPr>
      </w:pPr>
      <w:r>
        <w:rPr>
          <w:noProof/>
        </w:rPr>
        <mc:AlternateContent>
          <mc:Choice Requires="wps">
            <w:drawing>
              <wp:anchor distT="0" distB="0" distL="114300" distR="114300" simplePos="0" relativeHeight="251713536" behindDoc="1" locked="0" layoutInCell="1" allowOverlap="1">
                <wp:simplePos x="0" y="0"/>
                <wp:positionH relativeFrom="column">
                  <wp:posOffset>1649730</wp:posOffset>
                </wp:positionH>
                <wp:positionV relativeFrom="paragraph">
                  <wp:posOffset>150495</wp:posOffset>
                </wp:positionV>
                <wp:extent cx="2042160" cy="1096645"/>
                <wp:effectExtent l="0" t="0" r="15240" b="20955"/>
                <wp:wrapNone/>
                <wp:docPr id="26" name="矩形 16"/>
                <wp:cNvGraphicFramePr/>
                <a:graphic xmlns:a="http://schemas.openxmlformats.org/drawingml/2006/main">
                  <a:graphicData uri="http://schemas.microsoft.com/office/word/2010/wordprocessingShape">
                    <wps:wsp>
                      <wps:cNvSpPr/>
                      <wps:spPr>
                        <a:xfrm>
                          <a:off x="2792730" y="1263015"/>
                          <a:ext cx="2042160" cy="109664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5="http://schemas.microsoft.com/office/word/2012/wordml">
            <w:pict>
              <v:rect id="矩形 16" o:spid="_x0000_s1026" o:spt="1" style="position:absolute;left:0pt;margin-left:129.9pt;margin-top:11.85pt;height:86.35pt;width:160.8pt;z-index:-251602944;v-text-anchor:middle;mso-width-relative:page;mso-height-relative:page;" fillcolor="#FFFFFF [3212]" filled="t" stroked="f" coordsize="21600,21600" o:gfxdata="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Cx&#10;sZTQ2gAAAAoBAAAPAAAAAAAAAAEAIAAAACIAAABkcnMvZG93bnJldi54bWxQSwECFAAUAAAACACH&#10;TuJA6i1Hi1sCAACMBAAADgAAAAAAAAABACAAAAApAQAAZHJzL2Uyb0RvYy54bWxQSwUGAAAAAAYA&#10;BgBZAQAA9gUAAAAA&#10;">
                <v:fill on="t" focussize="0,0"/>
                <v:stroke on="f" weight="1pt" miterlimit="8" joinstyle="miter"/>
                <v:imagedata o:title=""/>
                <o:lock v:ext="edit" aspectratio="f"/>
              </v:rect>
            </w:pict>
          </mc:Fallback>
        </mc:AlternateContent>
      </w:r>
    </w:p>
    <w:p w:rsidR="00F836E4" w:rsidRDefault="00F836E4">
      <w:pPr>
        <w:jc w:val="center"/>
        <w:rPr>
          <w:rFonts w:cs="Tahoma"/>
        </w:rPr>
      </w:pPr>
    </w:p>
    <w:p w:rsidR="00F836E4" w:rsidRDefault="00F836E4">
      <w:pPr>
        <w:jc w:val="center"/>
        <w:rPr>
          <w:rFonts w:ascii="华文楷体" w:eastAsia="华文楷体" w:hAnsi="华文楷体" w:cs="Tahoma"/>
          <w:b/>
          <w:color w:val="FFFFFF" w:themeColor="background1"/>
          <w:sz w:val="32"/>
          <w:szCs w:val="32"/>
        </w:rPr>
      </w:pPr>
    </w:p>
    <w:p w:rsidR="00F836E4" w:rsidRDefault="00F836E4">
      <w:pPr>
        <w:jc w:val="center"/>
        <w:rPr>
          <w:rFonts w:ascii="华文楷体" w:eastAsia="华文楷体" w:hAnsi="华文楷体" w:cs="Tahoma"/>
          <w:b/>
          <w:color w:val="FFFFFF" w:themeColor="background1"/>
          <w:sz w:val="32"/>
          <w:szCs w:val="32"/>
        </w:rPr>
      </w:pPr>
    </w:p>
    <w:p w:rsidR="00F836E4" w:rsidRDefault="00F836E4">
      <w:pPr>
        <w:jc w:val="center"/>
        <w:rPr>
          <w:rFonts w:ascii="华文楷体" w:eastAsia="华文楷体" w:hAnsi="华文楷体" w:cs="Tahoma"/>
          <w:b/>
          <w:color w:val="FFFFFF" w:themeColor="background1"/>
          <w:sz w:val="32"/>
          <w:szCs w:val="32"/>
        </w:rPr>
      </w:pPr>
    </w:p>
    <w:p w:rsidR="00F836E4" w:rsidRDefault="00F836E4">
      <w:pPr>
        <w:jc w:val="center"/>
        <w:rPr>
          <w:rFonts w:ascii="Tahoma" w:hAnsi="Tahoma" w:cs="Tahoma"/>
          <w:b/>
          <w:color w:val="FFFFFF" w:themeColor="background1"/>
          <w:sz w:val="72"/>
          <w:szCs w:val="72"/>
        </w:rPr>
      </w:pPr>
    </w:p>
    <w:p w:rsidR="00F836E4" w:rsidRDefault="00F836E4">
      <w:pPr>
        <w:jc w:val="center"/>
        <w:rPr>
          <w:rFonts w:ascii="Tahoma" w:hAnsi="Tahoma" w:cs="Tahoma"/>
          <w:b/>
          <w:color w:val="FFFFFF" w:themeColor="background1"/>
          <w:sz w:val="72"/>
          <w:szCs w:val="72"/>
        </w:rPr>
      </w:pPr>
    </w:p>
    <w:p w:rsidR="00F836E4" w:rsidRDefault="00B228FD">
      <w:pPr>
        <w:spacing w:after="156"/>
        <w:jc w:val="center"/>
        <w:outlineLvl w:val="0"/>
        <w:rPr>
          <w:rFonts w:ascii="微软雅黑" w:eastAsia="微软雅黑" w:hAnsi="微软雅黑" w:cs="微软雅黑"/>
          <w:b/>
          <w:color w:val="FFFFFF" w:themeColor="background1"/>
          <w:sz w:val="52"/>
          <w:szCs w:val="52"/>
        </w:rPr>
      </w:pPr>
      <w:r>
        <w:rPr>
          <w:rFonts w:ascii="Tahoma" w:hAnsi="Tahoma" w:cs="Tahoma"/>
          <w:b/>
          <w:bCs/>
          <w:color w:val="FFFFFF" w:themeColor="background1"/>
          <w:sz w:val="22"/>
          <w:szCs w:val="22"/>
          <w:lang w:val="nl-NL"/>
        </w:rPr>
        <w:tab/>
      </w:r>
      <w:r>
        <w:rPr>
          <w:rFonts w:ascii="微软雅黑" w:eastAsia="微软雅黑" w:hAnsi="微软雅黑" w:cs="微软雅黑" w:hint="eastAsia"/>
          <w:b/>
          <w:color w:val="FFFFFF" w:themeColor="background1"/>
          <w:sz w:val="52"/>
          <w:szCs w:val="52"/>
        </w:rPr>
        <w:t>云南省工程勘察设计企业</w:t>
      </w:r>
    </w:p>
    <w:p w:rsidR="00F836E4" w:rsidRDefault="00B228FD">
      <w:pPr>
        <w:spacing w:after="156"/>
        <w:jc w:val="center"/>
        <w:outlineLvl w:val="0"/>
        <w:rPr>
          <w:bCs/>
          <w:color w:val="FFFFFF" w:themeColor="background1"/>
        </w:rPr>
      </w:pPr>
      <w:r>
        <w:rPr>
          <w:rFonts w:ascii="微软雅黑" w:eastAsia="微软雅黑" w:hAnsi="微软雅黑" w:cs="微软雅黑" w:hint="eastAsia"/>
          <w:b/>
          <w:color w:val="FFFFFF" w:themeColor="background1"/>
          <w:sz w:val="52"/>
          <w:szCs w:val="52"/>
        </w:rPr>
        <w:t>受疫情影响调研报告</w:t>
      </w: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F836E4">
      <w:pPr>
        <w:spacing w:line="300" w:lineRule="auto"/>
        <w:ind w:left="2"/>
        <w:jc w:val="center"/>
        <w:rPr>
          <w:bCs/>
          <w:color w:val="FFFFFF" w:themeColor="background1"/>
          <w:sz w:val="30"/>
          <w:szCs w:val="30"/>
        </w:rPr>
      </w:pPr>
    </w:p>
    <w:p w:rsidR="00F836E4" w:rsidRDefault="00B228FD">
      <w:pPr>
        <w:spacing w:line="300" w:lineRule="auto"/>
        <w:ind w:left="2"/>
        <w:jc w:val="center"/>
        <w:rPr>
          <w:bCs/>
          <w:color w:val="FFFFFF" w:themeColor="background1"/>
        </w:rPr>
      </w:pPr>
      <w:r>
        <w:rPr>
          <w:rFonts w:ascii="黑体" w:eastAsia="黑体" w:hAnsi="黑体" w:cs="黑体" w:hint="eastAsia"/>
          <w:b/>
          <w:bCs/>
          <w:noProof/>
          <w:color w:val="FFFFFF" w:themeColor="background1"/>
          <w:sz w:val="36"/>
          <w:szCs w:val="36"/>
        </w:rPr>
        <w:drawing>
          <wp:anchor distT="0" distB="0" distL="114300" distR="114300" simplePos="0" relativeHeight="251715584" behindDoc="0" locked="0" layoutInCell="1" allowOverlap="1">
            <wp:simplePos x="0" y="0"/>
            <wp:positionH relativeFrom="column">
              <wp:posOffset>1860550</wp:posOffset>
            </wp:positionH>
            <wp:positionV relativeFrom="paragraph">
              <wp:posOffset>371475</wp:posOffset>
            </wp:positionV>
            <wp:extent cx="1346835" cy="207010"/>
            <wp:effectExtent l="0" t="0" r="5715" b="2540"/>
            <wp:wrapNone/>
            <wp:docPr id="38" name="图片 23" descr="/Users/tacter/Desktop/logo/2019天强logo-白.png2019天强logo-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3" descr="/Users/tacter/Desktop/logo/2019天强logo-白.png2019天强logo-白"/>
                    <pic:cNvPicPr>
                      <a:picLocks noChangeAspect="1"/>
                    </pic:cNvPicPr>
                  </pic:nvPicPr>
                  <pic:blipFill>
                    <a:blip r:embed="rId13"/>
                    <a:srcRect/>
                    <a:stretch>
                      <a:fillRect/>
                    </a:stretch>
                  </pic:blipFill>
                  <pic:spPr>
                    <a:xfrm>
                      <a:off x="0" y="0"/>
                      <a:ext cx="1346835" cy="207010"/>
                    </a:xfrm>
                    <a:prstGeom prst="rect">
                      <a:avLst/>
                    </a:prstGeom>
                    <a:noFill/>
                    <a:ln w="9525">
                      <a:noFill/>
                    </a:ln>
                  </pic:spPr>
                </pic:pic>
              </a:graphicData>
            </a:graphic>
          </wp:anchor>
        </w:drawing>
      </w:r>
      <w:r>
        <w:rPr>
          <w:rFonts w:ascii="黑体" w:eastAsia="黑体" w:hAnsi="黑体" w:cs="黑体" w:hint="eastAsia"/>
          <w:b/>
          <w:bCs/>
          <w:color w:val="FFFFFF" w:themeColor="background1"/>
          <w:sz w:val="36"/>
          <w:szCs w:val="36"/>
        </w:rPr>
        <w:t>云南省勘察设计协会</w:t>
      </w:r>
    </w:p>
    <w:p w:rsidR="00F836E4" w:rsidRDefault="00F836E4">
      <w:pPr>
        <w:spacing w:line="300" w:lineRule="auto"/>
        <w:jc w:val="center"/>
        <w:rPr>
          <w:rFonts w:ascii="Tahoma" w:hAnsi="Tahoma" w:cs="Tahoma"/>
          <w:b/>
          <w:bCs/>
          <w:color w:val="FFFFFF" w:themeColor="background1"/>
          <w:szCs w:val="21"/>
          <w:lang w:val="nl-NL"/>
        </w:rPr>
      </w:pPr>
    </w:p>
    <w:p w:rsidR="00F836E4" w:rsidRDefault="00B228FD">
      <w:pPr>
        <w:spacing w:line="300" w:lineRule="auto"/>
        <w:ind w:firstLineChars="1300" w:firstLine="2871"/>
        <w:jc w:val="both"/>
        <w:rPr>
          <w:rFonts w:ascii="Tahoma" w:hAnsi="Tahoma" w:cs="Tahoma"/>
          <w:b/>
          <w:bCs/>
          <w:color w:val="FFFFFF" w:themeColor="background1"/>
          <w:sz w:val="22"/>
          <w:szCs w:val="22"/>
          <w:lang w:val="nl-NL"/>
        </w:rPr>
        <w:sectPr w:rsidR="00F836E4">
          <w:headerReference w:type="default" r:id="rId14"/>
          <w:footerReference w:type="default" r:id="rId15"/>
          <w:pgSz w:w="11906" w:h="16838"/>
          <w:pgMar w:top="1440" w:right="1646" w:bottom="1440" w:left="1980" w:header="779" w:footer="992" w:gutter="0"/>
          <w:cols w:space="720"/>
          <w:docGrid w:type="lines" w:linePitch="312"/>
        </w:sectPr>
      </w:pPr>
      <w:r>
        <w:rPr>
          <w:rFonts w:ascii="Tahoma" w:hAnsi="Tahoma" w:cs="Tahoma" w:hint="eastAsia"/>
          <w:b/>
          <w:bCs/>
          <w:color w:val="FFFFFF" w:themeColor="background1"/>
          <w:sz w:val="22"/>
          <w:szCs w:val="22"/>
          <w:lang w:val="nl-NL"/>
        </w:rPr>
        <w:t>二零二零年二月二十五日</w:t>
      </w:r>
    </w:p>
    <w:p w:rsidR="00F836E4" w:rsidRDefault="00B228FD">
      <w:pPr>
        <w:spacing w:after="156"/>
        <w:jc w:val="center"/>
        <w:outlineLvl w:val="0"/>
      </w:pPr>
      <w:r>
        <w:rPr>
          <w:rFonts w:ascii="微软雅黑" w:eastAsia="微软雅黑" w:hAnsi="微软雅黑" w:hint="eastAsia"/>
          <w:b/>
          <w:bCs/>
          <w:sz w:val="32"/>
          <w:szCs w:val="28"/>
        </w:rPr>
        <w:lastRenderedPageBreak/>
        <w:t>导</w:t>
      </w:r>
      <w:r>
        <w:rPr>
          <w:rFonts w:ascii="微软雅黑" w:eastAsia="微软雅黑" w:hAnsi="微软雅黑" w:hint="eastAsia"/>
          <w:b/>
          <w:bCs/>
          <w:sz w:val="32"/>
          <w:szCs w:val="28"/>
        </w:rPr>
        <w:t xml:space="preserve">   </w:t>
      </w:r>
      <w:r>
        <w:rPr>
          <w:rFonts w:ascii="微软雅黑" w:eastAsia="微软雅黑" w:hAnsi="微软雅黑" w:hint="eastAsia"/>
          <w:b/>
          <w:bCs/>
          <w:sz w:val="32"/>
          <w:szCs w:val="28"/>
        </w:rPr>
        <w:t>读</w:t>
      </w:r>
      <w:r>
        <w:rPr>
          <w:rFonts w:hint="eastAsia"/>
        </w:rPr>
        <w:t xml:space="preserve">    </w:t>
      </w:r>
    </w:p>
    <w:p w:rsidR="00F836E4" w:rsidRDefault="00B228FD">
      <w:pPr>
        <w:spacing w:after="156"/>
        <w:ind w:firstLine="480"/>
        <w:jc w:val="center"/>
        <w:outlineLvl w:val="0"/>
      </w:pPr>
      <w:r>
        <w:rPr>
          <w:rFonts w:hint="eastAsia"/>
        </w:rPr>
        <w:t>为深入了解新型肺炎疫情对云南省工程勘察设计企业的影响，云南省勘察设</w:t>
      </w:r>
    </w:p>
    <w:p w:rsidR="00F836E4" w:rsidRDefault="00B228FD">
      <w:pPr>
        <w:spacing w:after="156"/>
        <w:jc w:val="both"/>
        <w:outlineLvl w:val="0"/>
      </w:pPr>
      <w:proofErr w:type="gramStart"/>
      <w:r>
        <w:rPr>
          <w:rFonts w:hint="eastAsia"/>
        </w:rPr>
        <w:t>计协会</w:t>
      </w:r>
      <w:proofErr w:type="gramEnd"/>
      <w:r>
        <w:rPr>
          <w:rFonts w:hint="eastAsia"/>
        </w:rPr>
        <w:t>联同天强管理咨询</w:t>
      </w:r>
      <w:r>
        <w:t>启动</w:t>
      </w:r>
      <w:r>
        <w:rPr>
          <w:rFonts w:hint="eastAsia"/>
        </w:rPr>
        <w:t>了</w:t>
      </w:r>
      <w:proofErr w:type="gramStart"/>
      <w:r>
        <w:t>《</w:t>
      </w:r>
      <w:proofErr w:type="gramEnd"/>
      <w:r>
        <w:rPr>
          <w:rFonts w:hint="eastAsia"/>
        </w:rPr>
        <w:t>云南省工程勘察设计企业受新型冠状病毒疫情</w:t>
      </w:r>
    </w:p>
    <w:p w:rsidR="00F836E4" w:rsidRDefault="00B228FD">
      <w:pPr>
        <w:spacing w:after="156"/>
        <w:jc w:val="both"/>
        <w:outlineLvl w:val="0"/>
      </w:pPr>
      <w:r>
        <w:rPr>
          <w:rFonts w:hint="eastAsia"/>
        </w:rPr>
        <w:t>影响情况调查问卷</w:t>
      </w:r>
      <w:proofErr w:type="gramStart"/>
      <w:r>
        <w:t>》</w:t>
      </w:r>
      <w:proofErr w:type="gramEnd"/>
      <w:r>
        <w:t>的线上问卷调研。</w:t>
      </w:r>
      <w:r>
        <w:rPr>
          <w:rFonts w:hint="eastAsia"/>
        </w:rPr>
        <w:t>截至</w:t>
      </w:r>
      <w:r>
        <w:rPr>
          <w:rFonts w:hint="eastAsia"/>
        </w:rPr>
        <w:t>2020</w:t>
      </w:r>
      <w:r>
        <w:rPr>
          <w:rFonts w:hint="eastAsia"/>
        </w:rPr>
        <w:t>年</w:t>
      </w:r>
      <w:r>
        <w:rPr>
          <w:rFonts w:hint="eastAsia"/>
        </w:rPr>
        <w:t>2</w:t>
      </w:r>
      <w:r>
        <w:rPr>
          <w:rFonts w:hint="eastAsia"/>
        </w:rPr>
        <w:t>月</w:t>
      </w:r>
      <w:r>
        <w:rPr>
          <w:rFonts w:hint="eastAsia"/>
        </w:rPr>
        <w:t>22</w:t>
      </w:r>
      <w:r>
        <w:rPr>
          <w:rFonts w:hint="eastAsia"/>
        </w:rPr>
        <w:t>日，此次调研共回</w:t>
      </w:r>
    </w:p>
    <w:p w:rsidR="00F836E4" w:rsidRDefault="00B228FD">
      <w:pPr>
        <w:spacing w:after="156"/>
        <w:jc w:val="both"/>
        <w:outlineLvl w:val="0"/>
      </w:pPr>
      <w:r>
        <w:rPr>
          <w:rFonts w:hint="eastAsia"/>
        </w:rPr>
        <w:t>了来自</w:t>
      </w:r>
      <w:r>
        <w:rPr>
          <w:rFonts w:hint="eastAsia"/>
        </w:rPr>
        <w:t>148</w:t>
      </w:r>
      <w:r>
        <w:t>家</w:t>
      </w:r>
      <w:r>
        <w:rPr>
          <w:rFonts w:hint="eastAsia"/>
        </w:rPr>
        <w:t>样本企业的调研问卷</w:t>
      </w:r>
      <w:r>
        <w:t>。</w:t>
      </w:r>
    </w:p>
    <w:p w:rsidR="00F836E4" w:rsidRDefault="00B228FD">
      <w:pPr>
        <w:spacing w:after="156"/>
        <w:jc w:val="center"/>
        <w:outlineLvl w:val="0"/>
        <w:rPr>
          <w:rFonts w:ascii="Tahoma" w:hAnsi="Tahoma" w:cs="Tahoma"/>
          <w:b/>
          <w:bCs/>
          <w:color w:val="FFFFFF" w:themeColor="background1"/>
          <w:sz w:val="22"/>
          <w:szCs w:val="22"/>
          <w:lang w:val="nl-NL"/>
        </w:rPr>
      </w:pPr>
      <w:r>
        <w:rPr>
          <w:noProof/>
        </w:rPr>
        <w:drawing>
          <wp:inline distT="0" distB="0" distL="0" distR="0">
            <wp:extent cx="4572000" cy="2743200"/>
            <wp:effectExtent l="0" t="0" r="0" b="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ahoma" w:hAnsi="Tahoma" w:cs="Tahoma"/>
          <w:b/>
          <w:bCs/>
          <w:color w:val="FFFFFF" w:themeColor="background1"/>
          <w:sz w:val="22"/>
          <w:szCs w:val="22"/>
          <w:lang w:val="nl-NL"/>
        </w:rPr>
        <w:tab/>
      </w:r>
      <w:bookmarkStart w:id="0" w:name="_GoBack"/>
      <w:bookmarkEnd w:id="0"/>
    </w:p>
    <w:p w:rsidR="00F836E4" w:rsidRDefault="00B228FD">
      <w:pPr>
        <w:pStyle w:val="a3"/>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1</w:t>
      </w:r>
      <w:r>
        <w:rPr>
          <w:rFonts w:ascii="华文楷体" w:eastAsia="华文楷体" w:hAnsi="华文楷体"/>
        </w:rPr>
        <w:fldChar w:fldCharType="end"/>
      </w:r>
      <w:r>
        <w:rPr>
          <w:rFonts w:ascii="华文楷体" w:eastAsia="华文楷体" w:hAnsi="华文楷体" w:hint="eastAsia"/>
        </w:rPr>
        <w:t>：云南省工程勘察设计企业疫情影响企业性质分布</w:t>
      </w:r>
    </w:p>
    <w:p w:rsidR="00F836E4" w:rsidRDefault="00F836E4"/>
    <w:p w:rsidR="00F836E4" w:rsidRDefault="00B228FD">
      <w:pPr>
        <w:spacing w:after="156"/>
        <w:ind w:firstLine="480"/>
        <w:jc w:val="center"/>
        <w:outlineLvl w:val="0"/>
      </w:pPr>
      <w:r>
        <w:rPr>
          <w:rFonts w:hint="eastAsia"/>
        </w:rPr>
        <w:t>接受此次调研的</w:t>
      </w:r>
      <w:r>
        <w:rPr>
          <w:rFonts w:hint="eastAsia"/>
        </w:rPr>
        <w:t>148</w:t>
      </w:r>
      <w:r>
        <w:rPr>
          <w:rFonts w:hint="eastAsia"/>
        </w:rPr>
        <w:t>家企业涵盖了建筑设计、市政设计、交通设计、工业工</w:t>
      </w:r>
    </w:p>
    <w:p w:rsidR="00F836E4" w:rsidRDefault="00B228FD">
      <w:pPr>
        <w:spacing w:after="156"/>
        <w:jc w:val="both"/>
        <w:outlineLvl w:val="0"/>
      </w:pPr>
      <w:r>
        <w:rPr>
          <w:rFonts w:hint="eastAsia"/>
        </w:rPr>
        <w:t>程设计、工程勘察和专项设计等六大类型。</w:t>
      </w:r>
    </w:p>
    <w:p w:rsidR="00F836E4" w:rsidRDefault="00B228FD">
      <w:pPr>
        <w:spacing w:after="156"/>
        <w:ind w:firstLineChars="200" w:firstLine="480"/>
      </w:pPr>
      <w:r>
        <w:rPr>
          <w:rFonts w:hint="eastAsia"/>
        </w:rPr>
        <w:t>调研结果显示，绝大多数企业均表示其受到了疫情的直接影响，目前整体复</w:t>
      </w:r>
    </w:p>
    <w:p w:rsidR="00F836E4" w:rsidRDefault="00B228FD">
      <w:pPr>
        <w:spacing w:after="156"/>
      </w:pPr>
      <w:r>
        <w:rPr>
          <w:rFonts w:hint="eastAsia"/>
        </w:rPr>
        <w:t>工率偏低。截至</w:t>
      </w:r>
      <w:r>
        <w:rPr>
          <w:rFonts w:hint="eastAsia"/>
        </w:rPr>
        <w:t>2</w:t>
      </w:r>
      <w:r>
        <w:rPr>
          <w:rFonts w:hint="eastAsia"/>
        </w:rPr>
        <w:t>月</w:t>
      </w:r>
      <w:r>
        <w:rPr>
          <w:rFonts w:hint="eastAsia"/>
        </w:rPr>
        <w:t>22</w:t>
      </w:r>
      <w:r>
        <w:rPr>
          <w:rFonts w:hint="eastAsia"/>
        </w:rPr>
        <w:t>日，</w:t>
      </w:r>
      <w:r>
        <w:rPr>
          <w:rFonts w:hint="eastAsia"/>
        </w:rPr>
        <w:t>50.68%</w:t>
      </w:r>
      <w:r>
        <w:rPr>
          <w:rFonts w:hint="eastAsia"/>
        </w:rPr>
        <w:t>的企业表示目前复工率在</w:t>
      </w:r>
      <w:r>
        <w:rPr>
          <w:rFonts w:hint="eastAsia"/>
        </w:rPr>
        <w:t>30%</w:t>
      </w:r>
      <w:r>
        <w:rPr>
          <w:rFonts w:hint="eastAsia"/>
        </w:rPr>
        <w:t>以下；复工率</w:t>
      </w:r>
    </w:p>
    <w:p w:rsidR="00F836E4" w:rsidRDefault="00B228FD">
      <w:pPr>
        <w:spacing w:after="156"/>
      </w:pPr>
      <w:r>
        <w:rPr>
          <w:rFonts w:hint="eastAsia"/>
        </w:rPr>
        <w:t>高于</w:t>
      </w:r>
      <w:r>
        <w:rPr>
          <w:rFonts w:hint="eastAsia"/>
        </w:rPr>
        <w:t>80%</w:t>
      </w:r>
      <w:r>
        <w:rPr>
          <w:rFonts w:hint="eastAsia"/>
        </w:rPr>
        <w:t>的企业仅占</w:t>
      </w:r>
      <w:r>
        <w:rPr>
          <w:rFonts w:hint="eastAsia"/>
        </w:rPr>
        <w:t>12.16%</w:t>
      </w:r>
      <w:r>
        <w:rPr>
          <w:rFonts w:hint="eastAsia"/>
        </w:rPr>
        <w:t>。</w:t>
      </w: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t>【企业影响】</w:t>
      </w:r>
    </w:p>
    <w:p w:rsidR="00F836E4" w:rsidRDefault="00B228FD">
      <w:pPr>
        <w:spacing w:after="156"/>
        <w:rPr>
          <w:rFonts w:ascii="微软雅黑" w:eastAsia="微软雅黑" w:hAnsi="微软雅黑"/>
          <w:b/>
          <w:bCs/>
        </w:rPr>
      </w:pPr>
      <w:r>
        <w:rPr>
          <w:rFonts w:ascii="微软雅黑" w:eastAsia="微软雅黑" w:hAnsi="微软雅黑" w:hint="eastAsia"/>
          <w:b/>
          <w:bCs/>
        </w:rPr>
        <w:t>主要面临企业回款困难、企业市场开发压力增长及客户服务进度延迟等问题</w:t>
      </w:r>
    </w:p>
    <w:p w:rsidR="00F836E4" w:rsidRDefault="00B228FD">
      <w:pPr>
        <w:spacing w:after="156"/>
        <w:rPr>
          <w:rFonts w:ascii="微软雅黑" w:eastAsia="微软雅黑" w:hAnsi="微软雅黑"/>
          <w:b/>
          <w:bCs/>
        </w:rPr>
      </w:pPr>
      <w:r>
        <w:rPr>
          <w:rFonts w:ascii="微软雅黑" w:eastAsia="微软雅黑" w:hAnsi="微软雅黑" w:hint="eastAsia"/>
          <w:b/>
          <w:bCs/>
        </w:rPr>
        <w:t>流动资金普遍仅能短期支撑企业生产运营</w:t>
      </w:r>
    </w:p>
    <w:p w:rsidR="00F836E4" w:rsidRDefault="00B228FD">
      <w:pPr>
        <w:spacing w:after="156"/>
        <w:rPr>
          <w:rFonts w:ascii="微软雅黑" w:eastAsia="微软雅黑" w:hAnsi="微软雅黑"/>
          <w:b/>
          <w:bCs/>
        </w:rPr>
      </w:pPr>
      <w:r>
        <w:rPr>
          <w:rFonts w:ascii="微软雅黑" w:eastAsia="微软雅黑" w:hAnsi="微软雅黑" w:hint="eastAsia"/>
          <w:b/>
          <w:bCs/>
        </w:rPr>
        <w:t>多数</w:t>
      </w:r>
      <w:r>
        <w:rPr>
          <w:rFonts w:ascii="微软雅黑" w:eastAsia="微软雅黑" w:hAnsi="微软雅黑" w:hint="eastAsia"/>
          <w:b/>
          <w:bCs/>
        </w:rPr>
        <w:t>企业新签合同额同期降幅两成以上；工程勘察与专项设计行业困难较大</w:t>
      </w:r>
    </w:p>
    <w:p w:rsidR="00F836E4" w:rsidRDefault="00B228FD">
      <w:pPr>
        <w:spacing w:after="156"/>
        <w:rPr>
          <w:rFonts w:ascii="微软雅黑" w:eastAsia="微软雅黑" w:hAnsi="微软雅黑"/>
          <w:b/>
          <w:bCs/>
        </w:rPr>
      </w:pPr>
      <w:r>
        <w:rPr>
          <w:rFonts w:ascii="微软雅黑" w:eastAsia="微软雅黑" w:hAnsi="微软雅黑" w:hint="eastAsia"/>
          <w:b/>
          <w:bCs/>
        </w:rPr>
        <w:t>83.8</w:t>
      </w:r>
      <w:r>
        <w:rPr>
          <w:rFonts w:ascii="微软雅黑" w:eastAsia="微软雅黑" w:hAnsi="微软雅黑"/>
          <w:b/>
          <w:bCs/>
        </w:rPr>
        <w:t>%</w:t>
      </w:r>
      <w:r>
        <w:rPr>
          <w:rFonts w:ascii="微软雅黑" w:eastAsia="微软雅黑" w:hAnsi="微软雅黑" w:hint="eastAsia"/>
          <w:b/>
          <w:bCs/>
        </w:rPr>
        <w:t>的企业表示当前在手合同量不足正常经营状况下的一半</w:t>
      </w:r>
    </w:p>
    <w:p w:rsidR="00F836E4" w:rsidRDefault="00B228FD">
      <w:pPr>
        <w:spacing w:after="156"/>
        <w:rPr>
          <w:rFonts w:ascii="微软雅黑" w:eastAsia="微软雅黑" w:hAnsi="微软雅黑"/>
          <w:b/>
          <w:bCs/>
        </w:rPr>
      </w:pPr>
      <w:r>
        <w:rPr>
          <w:rFonts w:ascii="微软雅黑" w:eastAsia="微软雅黑" w:hAnsi="微软雅黑" w:hint="eastAsia"/>
          <w:b/>
          <w:bCs/>
        </w:rPr>
        <w:lastRenderedPageBreak/>
        <w:t>多数企业表示疫情将会带来经营成本的增长</w:t>
      </w:r>
    </w:p>
    <w:p w:rsidR="00F836E4" w:rsidRDefault="00B228FD">
      <w:pPr>
        <w:spacing w:after="156"/>
        <w:outlineLvl w:val="0"/>
        <w:rPr>
          <w:rFonts w:ascii="微软雅黑" w:eastAsia="微软雅黑" w:hAnsi="微软雅黑"/>
          <w:b/>
          <w:bCs/>
        </w:rPr>
      </w:pPr>
      <w:r>
        <w:rPr>
          <w:rFonts w:ascii="微软雅黑" w:eastAsia="微软雅黑" w:hAnsi="微软雅黑" w:hint="eastAsia"/>
          <w:b/>
          <w:bCs/>
        </w:rPr>
        <w:t>疫情对企业开展人才工作带来严峻挑战</w:t>
      </w: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t>【行业影响】</w:t>
      </w:r>
    </w:p>
    <w:p w:rsidR="00F836E4" w:rsidRDefault="00B228FD">
      <w:pPr>
        <w:spacing w:after="156"/>
        <w:rPr>
          <w:rFonts w:ascii="微软雅黑" w:eastAsia="微软雅黑" w:hAnsi="微软雅黑"/>
          <w:b/>
          <w:bCs/>
        </w:rPr>
      </w:pPr>
      <w:r>
        <w:rPr>
          <w:rFonts w:ascii="微软雅黑" w:eastAsia="微软雅黑" w:hAnsi="微软雅黑" w:hint="eastAsia"/>
          <w:b/>
          <w:bCs/>
        </w:rPr>
        <w:t>行业整体受到疫情影响严重</w:t>
      </w:r>
      <w:r>
        <w:rPr>
          <w:rFonts w:ascii="微软雅黑" w:eastAsia="微软雅黑" w:hAnsi="微软雅黑" w:hint="eastAsia"/>
          <w:b/>
          <w:bCs/>
        </w:rPr>
        <w:t xml:space="preserve">  </w:t>
      </w:r>
    </w:p>
    <w:p w:rsidR="00F836E4" w:rsidRDefault="00B228FD">
      <w:pPr>
        <w:spacing w:after="156"/>
        <w:rPr>
          <w:rFonts w:ascii="微软雅黑" w:eastAsia="微软雅黑" w:hAnsi="微软雅黑"/>
          <w:b/>
          <w:bCs/>
        </w:rPr>
      </w:pPr>
      <w:r>
        <w:rPr>
          <w:rFonts w:ascii="微软雅黑" w:eastAsia="微软雅黑" w:hAnsi="微软雅黑" w:hint="eastAsia"/>
          <w:b/>
          <w:bCs/>
        </w:rPr>
        <w:t>疫情导致市场竞争加剧、市场需求萎缩</w:t>
      </w:r>
      <w:r>
        <w:rPr>
          <w:rFonts w:ascii="微软雅黑" w:eastAsia="微软雅黑" w:hAnsi="微软雅黑" w:hint="eastAsia"/>
          <w:b/>
          <w:bCs/>
        </w:rPr>
        <w:t xml:space="preserve">   </w:t>
      </w:r>
    </w:p>
    <w:p w:rsidR="00F836E4" w:rsidRDefault="00B228FD">
      <w:pPr>
        <w:spacing w:after="156"/>
        <w:rPr>
          <w:rFonts w:ascii="微软雅黑" w:eastAsia="微软雅黑" w:hAnsi="微软雅黑"/>
          <w:b/>
          <w:bCs/>
        </w:rPr>
      </w:pPr>
      <w:r>
        <w:rPr>
          <w:rFonts w:ascii="微软雅黑" w:eastAsia="微软雅黑" w:hAnsi="微软雅黑" w:hint="eastAsia"/>
          <w:b/>
          <w:bCs/>
        </w:rPr>
        <w:t>疫情影响下工期延误对工程总承包、设计施工一体化等业务影响较大</w:t>
      </w: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t>【企业举措】</w:t>
      </w:r>
    </w:p>
    <w:p w:rsidR="00F836E4" w:rsidRDefault="00B228FD">
      <w:pPr>
        <w:spacing w:after="156"/>
        <w:jc w:val="both"/>
        <w:outlineLvl w:val="0"/>
        <w:rPr>
          <w:rFonts w:ascii="微软雅黑" w:eastAsia="微软雅黑" w:hAnsi="微软雅黑"/>
          <w:b/>
          <w:bCs/>
        </w:rPr>
      </w:pPr>
      <w:r>
        <w:rPr>
          <w:rFonts w:ascii="微软雅黑" w:eastAsia="微软雅黑" w:hAnsi="微软雅黑" w:hint="eastAsia"/>
          <w:b/>
          <w:bCs/>
        </w:rPr>
        <w:t>远程办公成为此次疫情的必然选择</w:t>
      </w:r>
    </w:p>
    <w:p w:rsidR="00F836E4" w:rsidRDefault="00B228FD">
      <w:pPr>
        <w:spacing w:after="156"/>
        <w:jc w:val="both"/>
        <w:outlineLvl w:val="0"/>
        <w:rPr>
          <w:rFonts w:ascii="微软雅黑" w:eastAsia="微软雅黑" w:hAnsi="微软雅黑"/>
          <w:b/>
          <w:bCs/>
        </w:rPr>
      </w:pPr>
      <w:r>
        <w:rPr>
          <w:rFonts w:ascii="微软雅黑" w:eastAsia="微软雅黑" w:hAnsi="微软雅黑" w:hint="eastAsia"/>
          <w:b/>
          <w:bCs/>
        </w:rPr>
        <w:t>急需提升企业风险管理能力和信息化应用水平</w:t>
      </w:r>
      <w:r>
        <w:rPr>
          <w:rFonts w:ascii="微软雅黑" w:eastAsia="微软雅黑" w:hAnsi="微软雅黑" w:hint="eastAsia"/>
          <w:b/>
          <w:bCs/>
        </w:rPr>
        <w:t xml:space="preserve">     </w:t>
      </w:r>
    </w:p>
    <w:p w:rsidR="00F836E4" w:rsidRDefault="00B228FD">
      <w:pPr>
        <w:spacing w:after="156"/>
        <w:jc w:val="both"/>
        <w:outlineLvl w:val="0"/>
        <w:rPr>
          <w:rFonts w:ascii="微软雅黑" w:eastAsia="微软雅黑" w:hAnsi="微软雅黑"/>
          <w:b/>
          <w:bCs/>
        </w:rPr>
      </w:pPr>
      <w:r>
        <w:rPr>
          <w:rFonts w:ascii="微软雅黑" w:eastAsia="微软雅黑" w:hAnsi="微软雅黑" w:hint="eastAsia"/>
          <w:b/>
          <w:bCs/>
        </w:rPr>
        <w:t>疫情让企业开始重视人文关怀，加速远程服务能力</w:t>
      </w: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t>【扶持需求】</w:t>
      </w:r>
    </w:p>
    <w:p w:rsidR="00F836E4" w:rsidRDefault="00B228FD">
      <w:pPr>
        <w:spacing w:after="156"/>
        <w:outlineLvl w:val="0"/>
        <w:rPr>
          <w:rFonts w:ascii="微软雅黑" w:eastAsia="微软雅黑" w:hAnsi="微软雅黑"/>
          <w:b/>
          <w:bCs/>
        </w:rPr>
      </w:pPr>
      <w:r>
        <w:rPr>
          <w:rFonts w:ascii="微软雅黑" w:eastAsia="微软雅黑" w:hAnsi="微软雅黑" w:hint="eastAsia"/>
          <w:b/>
          <w:bCs/>
        </w:rPr>
        <w:t>减轻企业负担，推动复工复产是企业重点诉求</w:t>
      </w:r>
    </w:p>
    <w:p w:rsidR="00F836E4" w:rsidRDefault="00B228FD">
      <w:pPr>
        <w:spacing w:after="120" w:line="300" w:lineRule="auto"/>
        <w:jc w:val="both"/>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t>【政府扶持政策】</w:t>
      </w:r>
    </w:p>
    <w:p w:rsidR="00F836E4" w:rsidRDefault="00B228FD">
      <w:pPr>
        <w:spacing w:after="120" w:line="300" w:lineRule="auto"/>
        <w:ind w:firstLineChars="200" w:firstLine="480"/>
        <w:jc w:val="both"/>
      </w:pPr>
      <w:r>
        <w:rPr>
          <w:rFonts w:hint="eastAsia"/>
        </w:rPr>
        <w:t>当下，国家及地方政府积极出台各种政策，保障国民经济的正常运行。</w:t>
      </w:r>
    </w:p>
    <w:p w:rsidR="00F836E4" w:rsidRDefault="00B228FD">
      <w:pPr>
        <w:spacing w:after="120" w:line="300" w:lineRule="auto"/>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t>【行业政策】</w:t>
      </w:r>
    </w:p>
    <w:p w:rsidR="00F836E4" w:rsidRDefault="00B228FD">
      <w:pPr>
        <w:spacing w:after="120" w:line="300" w:lineRule="auto"/>
        <w:ind w:firstLineChars="200" w:firstLine="480"/>
      </w:pPr>
      <w:r>
        <w:rPr>
          <w:rFonts w:hint="eastAsia"/>
        </w:rPr>
        <w:t>当前行业发展的主管部门也在陆续发布相关政策以应对疫情影响，各地建委也陆续发布文件明确防疫期间的关于文件审批以及招投标的相关应对策略。</w:t>
      </w:r>
    </w:p>
    <w:p w:rsidR="00F836E4" w:rsidRDefault="00F836E4">
      <w:pPr>
        <w:spacing w:after="156"/>
        <w:jc w:val="center"/>
        <w:outlineLvl w:val="0"/>
        <w:rPr>
          <w:rFonts w:ascii="微软雅黑" w:eastAsia="微软雅黑" w:hAnsi="微软雅黑"/>
          <w:b/>
          <w:bCs/>
          <w:sz w:val="32"/>
          <w:szCs w:val="28"/>
        </w:rPr>
        <w:sectPr w:rsidR="00F836E4">
          <w:footerReference w:type="default" r:id="rId17"/>
          <w:pgSz w:w="11906" w:h="16838"/>
          <w:pgMar w:top="1440" w:right="1800" w:bottom="1440" w:left="1800" w:header="851" w:footer="992" w:gutter="0"/>
          <w:pgNumType w:start="1"/>
          <w:cols w:space="425"/>
          <w:docGrid w:type="lines" w:linePitch="312"/>
        </w:sectPr>
      </w:pPr>
    </w:p>
    <w:p w:rsidR="00F836E4" w:rsidRDefault="00B228FD">
      <w:pPr>
        <w:spacing w:after="156"/>
        <w:jc w:val="center"/>
        <w:outlineLvl w:val="0"/>
        <w:rPr>
          <w:rFonts w:ascii="微软雅黑" w:eastAsia="微软雅黑" w:hAnsi="微软雅黑"/>
          <w:b/>
          <w:bCs/>
          <w:sz w:val="32"/>
          <w:szCs w:val="28"/>
        </w:rPr>
      </w:pPr>
      <w:r>
        <w:rPr>
          <w:rFonts w:ascii="微软雅黑" w:eastAsia="微软雅黑" w:hAnsi="微软雅黑" w:hint="eastAsia"/>
          <w:b/>
          <w:bCs/>
          <w:sz w:val="32"/>
          <w:szCs w:val="28"/>
        </w:rPr>
        <w:lastRenderedPageBreak/>
        <w:t>云南省工程勘察设计企业受疫情影响调研报告</w:t>
      </w: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t>【样本说明】</w:t>
      </w:r>
    </w:p>
    <w:p w:rsidR="00F836E4" w:rsidRDefault="00B228FD">
      <w:pPr>
        <w:spacing w:after="120" w:line="300" w:lineRule="auto"/>
        <w:ind w:firstLineChars="200" w:firstLine="480"/>
      </w:pPr>
      <w:r>
        <w:rPr>
          <w:rFonts w:hint="eastAsia"/>
        </w:rPr>
        <w:t>为深入了解新型肺炎疫情对云南省工程勘察设计企业的影响，云南省勘察设计协会联同天强管理咨询</w:t>
      </w:r>
      <w:r>
        <w:t>启动</w:t>
      </w:r>
      <w:r>
        <w:rPr>
          <w:rFonts w:hint="eastAsia"/>
        </w:rPr>
        <w:t>了</w:t>
      </w:r>
      <w:r>
        <w:t>《</w:t>
      </w:r>
      <w:r>
        <w:rPr>
          <w:rFonts w:hint="eastAsia"/>
        </w:rPr>
        <w:t>云南省工程勘察设计企业受新型冠状病毒疫情影响情况调查问卷</w:t>
      </w:r>
      <w:r>
        <w:t>》的线上问卷调研。</w:t>
      </w:r>
      <w:r>
        <w:rPr>
          <w:rFonts w:hint="eastAsia"/>
        </w:rPr>
        <w:t>截至</w:t>
      </w:r>
      <w:r>
        <w:rPr>
          <w:rFonts w:hint="eastAsia"/>
        </w:rPr>
        <w:t>2020</w:t>
      </w:r>
      <w:r>
        <w:rPr>
          <w:rFonts w:hint="eastAsia"/>
        </w:rPr>
        <w:t>年</w:t>
      </w:r>
      <w:r>
        <w:rPr>
          <w:rFonts w:hint="eastAsia"/>
        </w:rPr>
        <w:t>2</w:t>
      </w:r>
      <w:r>
        <w:rPr>
          <w:rFonts w:hint="eastAsia"/>
        </w:rPr>
        <w:t>月</w:t>
      </w:r>
      <w:r>
        <w:rPr>
          <w:rFonts w:hint="eastAsia"/>
        </w:rPr>
        <w:t>22</w:t>
      </w:r>
      <w:r>
        <w:rPr>
          <w:rFonts w:hint="eastAsia"/>
        </w:rPr>
        <w:t>日，此次</w:t>
      </w:r>
      <w:proofErr w:type="gramStart"/>
      <w:r>
        <w:rPr>
          <w:rFonts w:hint="eastAsia"/>
        </w:rPr>
        <w:t>调研共</w:t>
      </w:r>
      <w:proofErr w:type="gramEnd"/>
      <w:r>
        <w:rPr>
          <w:rFonts w:hint="eastAsia"/>
        </w:rPr>
        <w:t>回收了来自</w:t>
      </w:r>
      <w:r>
        <w:rPr>
          <w:rFonts w:hint="eastAsia"/>
        </w:rPr>
        <w:t>148</w:t>
      </w:r>
      <w:r>
        <w:t>家</w:t>
      </w:r>
      <w:r>
        <w:rPr>
          <w:rFonts w:hint="eastAsia"/>
        </w:rPr>
        <w:t>样本企业的调研问卷</w:t>
      </w:r>
      <w:r>
        <w:t>。</w:t>
      </w:r>
    </w:p>
    <w:p w:rsidR="00F836E4" w:rsidRDefault="00F836E4">
      <w:pPr>
        <w:spacing w:after="120" w:line="300" w:lineRule="auto"/>
        <w:ind w:firstLineChars="200" w:firstLine="480"/>
      </w:pPr>
    </w:p>
    <w:p w:rsidR="00F836E4" w:rsidRDefault="00B228FD">
      <w:pPr>
        <w:spacing w:after="120" w:line="300" w:lineRule="auto"/>
        <w:ind w:firstLineChars="200" w:firstLine="480"/>
      </w:pPr>
      <w:r>
        <w:rPr>
          <w:rFonts w:hint="eastAsia"/>
        </w:rPr>
        <w:t>按照企业性质分布来看，此次参与调研的</w:t>
      </w:r>
      <w:r>
        <w:rPr>
          <w:rFonts w:hint="eastAsia"/>
        </w:rPr>
        <w:t>148</w:t>
      </w:r>
      <w:r>
        <w:rPr>
          <w:rFonts w:hint="eastAsia"/>
        </w:rPr>
        <w:t>家企业以民营企业为主，共计</w:t>
      </w:r>
      <w:r>
        <w:rPr>
          <w:rFonts w:hint="eastAsia"/>
        </w:rPr>
        <w:t>80</w:t>
      </w:r>
      <w:r>
        <w:rPr>
          <w:rFonts w:hint="eastAsia"/>
        </w:rPr>
        <w:t>家，占比</w:t>
      </w:r>
      <w:r>
        <w:rPr>
          <w:rFonts w:hint="eastAsia"/>
        </w:rPr>
        <w:t>54.1%</w:t>
      </w:r>
      <w:r>
        <w:rPr>
          <w:rFonts w:hint="eastAsia"/>
        </w:rPr>
        <w:t>；国有企业（含独资、控股和参股）</w:t>
      </w:r>
      <w:r>
        <w:rPr>
          <w:rFonts w:hint="eastAsia"/>
        </w:rPr>
        <w:t>38</w:t>
      </w:r>
      <w:r>
        <w:rPr>
          <w:rFonts w:hint="eastAsia"/>
        </w:rPr>
        <w:t>家，占比</w:t>
      </w:r>
      <w:r>
        <w:rPr>
          <w:rFonts w:hint="eastAsia"/>
        </w:rPr>
        <w:t>25.7%</w:t>
      </w:r>
      <w:r>
        <w:rPr>
          <w:rFonts w:hint="eastAsia"/>
        </w:rPr>
        <w:t>。随着云南省体制改革的不断推进，行业内民营设计企业占</w:t>
      </w:r>
      <w:proofErr w:type="gramStart"/>
      <w:r>
        <w:rPr>
          <w:rFonts w:hint="eastAsia"/>
        </w:rPr>
        <w:t>比逐步</w:t>
      </w:r>
      <w:proofErr w:type="gramEnd"/>
      <w:r>
        <w:rPr>
          <w:rFonts w:hint="eastAsia"/>
        </w:rPr>
        <w:t>提高，此次问卷企业性质样本量分布与行业实际情况较为一致，调研结果对于全面了解云南省行业影响具备较好的参考性。</w:t>
      </w:r>
    </w:p>
    <w:p w:rsidR="00F836E4" w:rsidRDefault="00F836E4">
      <w:pPr>
        <w:spacing w:after="120" w:line="300" w:lineRule="auto"/>
        <w:ind w:firstLineChars="200" w:firstLine="480"/>
      </w:pPr>
    </w:p>
    <w:p w:rsidR="00F836E4" w:rsidRDefault="00B228FD">
      <w:pPr>
        <w:spacing w:after="156"/>
        <w:jc w:val="center"/>
        <w:rPr>
          <w:rFonts w:ascii="仿宋_GB2312" w:eastAsia="仿宋_GB2312"/>
          <w:sz w:val="28"/>
        </w:rPr>
      </w:pPr>
      <w:r>
        <w:rPr>
          <w:noProof/>
        </w:rPr>
        <w:drawing>
          <wp:inline distT="0" distB="0" distL="0" distR="0">
            <wp:extent cx="4572000" cy="2743200"/>
            <wp:effectExtent l="0" t="0" r="0" b="0"/>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836E4" w:rsidRDefault="00B228FD">
      <w:pPr>
        <w:pStyle w:val="a3"/>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1</w:t>
      </w:r>
      <w:r>
        <w:rPr>
          <w:rFonts w:ascii="华文楷体" w:eastAsia="华文楷体" w:hAnsi="华文楷体"/>
        </w:rPr>
        <w:fldChar w:fldCharType="end"/>
      </w:r>
      <w:r>
        <w:rPr>
          <w:rFonts w:ascii="华文楷体" w:eastAsia="华文楷体" w:hAnsi="华文楷体" w:hint="eastAsia"/>
        </w:rPr>
        <w:t>：云南省工程勘察设计企业疫情影响企业性质分布</w:t>
      </w:r>
    </w:p>
    <w:p w:rsidR="00F836E4" w:rsidRDefault="00F836E4"/>
    <w:p w:rsidR="00F836E4" w:rsidRDefault="00B228FD">
      <w:pPr>
        <w:spacing w:after="120" w:line="300" w:lineRule="auto"/>
        <w:ind w:firstLineChars="200" w:firstLine="480"/>
      </w:pPr>
      <w:r>
        <w:rPr>
          <w:rFonts w:hint="eastAsia"/>
        </w:rPr>
        <w:t>从细分行业来看，接受此次调研的</w:t>
      </w:r>
      <w:r>
        <w:rPr>
          <w:rFonts w:hint="eastAsia"/>
        </w:rPr>
        <w:t>148</w:t>
      </w:r>
      <w:r>
        <w:rPr>
          <w:rFonts w:hint="eastAsia"/>
        </w:rPr>
        <w:t>家企业涵盖了建筑设计、市政设计、交通设计、工业工程设计、工程勘察和专项设计等六大类型。建筑设计类企业占比最高，达</w:t>
      </w:r>
      <w:r>
        <w:rPr>
          <w:rFonts w:hint="eastAsia"/>
        </w:rPr>
        <w:t>40.5%</w:t>
      </w:r>
      <w:r>
        <w:rPr>
          <w:rFonts w:hint="eastAsia"/>
        </w:rPr>
        <w:t>，其次是工程勘察类企业，占比约为</w:t>
      </w:r>
      <w:r>
        <w:rPr>
          <w:rFonts w:hint="eastAsia"/>
        </w:rPr>
        <w:t>23.0%</w:t>
      </w:r>
      <w:r>
        <w:rPr>
          <w:rFonts w:hint="eastAsia"/>
        </w:rPr>
        <w:t>。本次回收的样本从企业行业类别分布上看与云南省细分行业分布较为一致。</w:t>
      </w:r>
    </w:p>
    <w:p w:rsidR="00F836E4" w:rsidRDefault="00B228FD">
      <w:pPr>
        <w:spacing w:after="156"/>
        <w:jc w:val="center"/>
        <w:rPr>
          <w:rFonts w:ascii="仿宋_GB2312" w:eastAsia="仿宋_GB2312"/>
          <w:sz w:val="28"/>
        </w:rPr>
      </w:pPr>
      <w:r>
        <w:rPr>
          <w:noProof/>
        </w:rPr>
        <w:lastRenderedPageBreak/>
        <w:drawing>
          <wp:inline distT="0" distB="0" distL="0" distR="0">
            <wp:extent cx="4281170" cy="3057525"/>
            <wp:effectExtent l="0" t="0" r="5080" b="0"/>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2</w:t>
      </w:r>
      <w:r>
        <w:rPr>
          <w:rFonts w:ascii="华文楷体" w:eastAsia="华文楷体" w:hAnsi="华文楷体"/>
        </w:rPr>
        <w:fldChar w:fldCharType="end"/>
      </w:r>
      <w:r>
        <w:rPr>
          <w:rFonts w:ascii="华文楷体" w:eastAsia="华文楷体" w:hAnsi="华文楷体" w:hint="eastAsia"/>
        </w:rPr>
        <w:t>：云南省工程勘察设计企业疫情影响细分领域重新划分</w:t>
      </w:r>
    </w:p>
    <w:p w:rsidR="00F836E4" w:rsidRDefault="00F836E4">
      <w:pPr>
        <w:spacing w:after="156"/>
        <w:jc w:val="center"/>
        <w:rPr>
          <w:rFonts w:ascii="微软雅黑" w:eastAsia="微软雅黑" w:hAnsi="微软雅黑"/>
          <w:b/>
          <w:bCs/>
          <w:color w:val="0070C0"/>
          <w:sz w:val="28"/>
          <w:szCs w:val="28"/>
        </w:rPr>
        <w:sectPr w:rsidR="00F836E4">
          <w:pgSz w:w="11906" w:h="16838"/>
          <w:pgMar w:top="1440" w:right="1800" w:bottom="1440" w:left="1800" w:header="851" w:footer="992" w:gutter="0"/>
          <w:cols w:space="425"/>
          <w:docGrid w:type="lines" w:linePitch="312"/>
        </w:sectPr>
      </w:pP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lastRenderedPageBreak/>
        <w:t>【企业影响】</w:t>
      </w:r>
    </w:p>
    <w:p w:rsidR="00F836E4" w:rsidRDefault="00B228FD">
      <w:pPr>
        <w:spacing w:after="156"/>
        <w:rPr>
          <w:rFonts w:ascii="微软雅黑" w:eastAsia="微软雅黑" w:hAnsi="微软雅黑"/>
          <w:b/>
          <w:bCs/>
        </w:rPr>
      </w:pPr>
      <w:r>
        <w:rPr>
          <w:rFonts w:ascii="微软雅黑" w:eastAsia="微软雅黑" w:hAnsi="微软雅黑" w:hint="eastAsia"/>
          <w:b/>
          <w:bCs/>
        </w:rPr>
        <w:t>多数企业表示受到疫情直接影响，复工率偏低</w:t>
      </w:r>
    </w:p>
    <w:p w:rsidR="00F836E4" w:rsidRDefault="00B228FD">
      <w:pPr>
        <w:spacing w:after="120" w:line="300" w:lineRule="auto"/>
        <w:ind w:firstLineChars="200" w:firstLine="480"/>
      </w:pPr>
      <w:r>
        <w:rPr>
          <w:rFonts w:hint="eastAsia"/>
        </w:rPr>
        <w:t>调研结果显示，绝大多数企业均表示其受到了疫情的直接影</w:t>
      </w:r>
      <w:r>
        <w:rPr>
          <w:rFonts w:hint="eastAsia"/>
        </w:rPr>
        <w:t>响，目前整体复工率偏低。截至</w:t>
      </w:r>
      <w:r>
        <w:rPr>
          <w:rFonts w:hint="eastAsia"/>
        </w:rPr>
        <w:t>2</w:t>
      </w:r>
      <w:r>
        <w:rPr>
          <w:rFonts w:hint="eastAsia"/>
        </w:rPr>
        <w:t>月</w:t>
      </w:r>
      <w:r>
        <w:rPr>
          <w:rFonts w:hint="eastAsia"/>
        </w:rPr>
        <w:t>22</w:t>
      </w:r>
      <w:r>
        <w:rPr>
          <w:rFonts w:hint="eastAsia"/>
        </w:rPr>
        <w:t>日，</w:t>
      </w:r>
      <w:r>
        <w:rPr>
          <w:rFonts w:hint="eastAsia"/>
        </w:rPr>
        <w:t>50.68%</w:t>
      </w:r>
      <w:r>
        <w:rPr>
          <w:rFonts w:hint="eastAsia"/>
        </w:rPr>
        <w:t>的企业表示目前复工率在</w:t>
      </w:r>
      <w:r>
        <w:rPr>
          <w:rFonts w:hint="eastAsia"/>
        </w:rPr>
        <w:t>30%</w:t>
      </w:r>
      <w:r>
        <w:rPr>
          <w:rFonts w:hint="eastAsia"/>
        </w:rPr>
        <w:t>以下；复工率高于</w:t>
      </w:r>
      <w:r>
        <w:rPr>
          <w:rFonts w:hint="eastAsia"/>
        </w:rPr>
        <w:t>80%</w:t>
      </w:r>
      <w:r>
        <w:rPr>
          <w:rFonts w:hint="eastAsia"/>
        </w:rPr>
        <w:t>的企业仅占</w:t>
      </w:r>
      <w:r>
        <w:rPr>
          <w:rFonts w:hint="eastAsia"/>
        </w:rPr>
        <w:t>12.16%</w:t>
      </w:r>
      <w:r>
        <w:rPr>
          <w:rFonts w:hint="eastAsia"/>
        </w:rPr>
        <w:t>。</w:t>
      </w:r>
    </w:p>
    <w:p w:rsidR="00F836E4" w:rsidRDefault="00B228FD">
      <w:pPr>
        <w:spacing w:after="156"/>
        <w:jc w:val="center"/>
        <w:rPr>
          <w:rFonts w:ascii="微软雅黑" w:eastAsia="微软雅黑" w:hAnsi="微软雅黑"/>
          <w:b/>
          <w:bCs/>
          <w:sz w:val="28"/>
          <w:szCs w:val="28"/>
        </w:rPr>
      </w:pPr>
      <w:r>
        <w:rPr>
          <w:noProof/>
        </w:rPr>
        <w:drawing>
          <wp:inline distT="0" distB="0" distL="0" distR="0">
            <wp:extent cx="5274310" cy="1581150"/>
            <wp:effectExtent l="0" t="0" r="2540" b="0"/>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3</w:t>
      </w:r>
      <w:r>
        <w:rPr>
          <w:rFonts w:ascii="华文楷体" w:eastAsia="华文楷体" w:hAnsi="华文楷体"/>
        </w:rPr>
        <w:fldChar w:fldCharType="end"/>
      </w:r>
      <w:r>
        <w:rPr>
          <w:rFonts w:ascii="华文楷体" w:eastAsia="华文楷体" w:hAnsi="华文楷体" w:hint="eastAsia"/>
        </w:rPr>
        <w:t>：企业目前整体复工率</w:t>
      </w:r>
    </w:p>
    <w:p w:rsidR="00F836E4" w:rsidRDefault="00B228FD">
      <w:pPr>
        <w:spacing w:after="156"/>
        <w:rPr>
          <w:rFonts w:ascii="微软雅黑" w:eastAsia="微软雅黑" w:hAnsi="微软雅黑"/>
          <w:b/>
          <w:bCs/>
        </w:rPr>
      </w:pPr>
      <w:r>
        <w:rPr>
          <w:rFonts w:ascii="微软雅黑" w:eastAsia="微软雅黑" w:hAnsi="微软雅黑" w:hint="eastAsia"/>
          <w:b/>
          <w:bCs/>
        </w:rPr>
        <w:t>主要面临企业回款困难、企业市场开发压力增长及客户服务进度延迟等问题</w:t>
      </w:r>
    </w:p>
    <w:p w:rsidR="00F836E4" w:rsidRDefault="00B228FD">
      <w:pPr>
        <w:spacing w:after="120" w:line="300" w:lineRule="auto"/>
        <w:ind w:firstLineChars="200" w:firstLine="480"/>
      </w:pPr>
      <w:r>
        <w:rPr>
          <w:rFonts w:hint="eastAsia"/>
        </w:rPr>
        <w:t>从影响方面来看，疫情直接导致了企业与其客户难以正常开展生产经营活动。“企业回款困难，现金流压力加大”成为多数企业当下面临的困境，该选项得分为</w:t>
      </w:r>
      <w:r>
        <w:rPr>
          <w:rFonts w:hint="eastAsia"/>
        </w:rPr>
        <w:t>8.09</w:t>
      </w:r>
      <w:r>
        <w:rPr>
          <w:rFonts w:hint="eastAsia"/>
        </w:rPr>
        <w:t>分，影响最为明显。其次，由于国家以及地方政府要求企业延迟节后复工，对于需要现场投入人力的业务影响较大。因此“企业市场开发压力增长”和“客户服务进度延迟”分列第二以及第三个重大影响，得分分别为</w:t>
      </w:r>
      <w:r>
        <w:rPr>
          <w:rFonts w:hint="eastAsia"/>
        </w:rPr>
        <w:t>8.01</w:t>
      </w:r>
      <w:r>
        <w:rPr>
          <w:rFonts w:hint="eastAsia"/>
        </w:rPr>
        <w:t>和</w:t>
      </w:r>
      <w:r>
        <w:rPr>
          <w:rFonts w:hint="eastAsia"/>
        </w:rPr>
        <w:t>7.61</w:t>
      </w:r>
      <w:r>
        <w:rPr>
          <w:rFonts w:hint="eastAsia"/>
        </w:rPr>
        <w:t>分，影响明显。除了对企业带来的负面影响，多数企业也表示本次疫情在一些方面也给企业发展带来了促进作用。例如，促进加快了企业的信息化建设，提升了企业的凝聚力等。</w:t>
      </w:r>
      <w:r>
        <w:rPr>
          <w:rFonts w:hint="eastAsia"/>
        </w:rPr>
        <w:t>但整体来看，云南省勘察设计企业普遍认为此次疫情带来的负面影响要大于正面影响。</w:t>
      </w:r>
    </w:p>
    <w:p w:rsidR="00F836E4" w:rsidRDefault="00B228FD">
      <w:pPr>
        <w:spacing w:after="156"/>
        <w:jc w:val="center"/>
      </w:pPr>
      <w:r>
        <w:rPr>
          <w:noProof/>
        </w:rPr>
        <w:lastRenderedPageBreak/>
        <w:drawing>
          <wp:inline distT="0" distB="0" distL="0" distR="0">
            <wp:extent cx="4572000" cy="2743200"/>
            <wp:effectExtent l="0" t="0" r="0" b="0"/>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4</w:t>
      </w:r>
      <w:r>
        <w:rPr>
          <w:rFonts w:ascii="华文楷体" w:eastAsia="华文楷体" w:hAnsi="华文楷体"/>
        </w:rPr>
        <w:fldChar w:fldCharType="end"/>
      </w:r>
      <w:r>
        <w:rPr>
          <w:rFonts w:ascii="华文楷体" w:eastAsia="华文楷体" w:hAnsi="华文楷体" w:hint="eastAsia"/>
        </w:rPr>
        <w:t>：此次疫情对企业的影响</w:t>
      </w:r>
    </w:p>
    <w:p w:rsidR="00F836E4" w:rsidRDefault="00B228FD">
      <w:pPr>
        <w:spacing w:after="120"/>
        <w:rPr>
          <w:rFonts w:ascii="黑体" w:eastAsia="黑体" w:hAnsi="黑体"/>
          <w:sz w:val="20"/>
          <w:szCs w:val="18"/>
        </w:rPr>
      </w:pPr>
      <w:r>
        <w:rPr>
          <w:rFonts w:ascii="黑体" w:eastAsia="黑体" w:hAnsi="黑体" w:hint="eastAsia"/>
          <w:sz w:val="20"/>
          <w:szCs w:val="18"/>
        </w:rPr>
        <w:t>注：采用</w:t>
      </w:r>
      <w:r>
        <w:rPr>
          <w:rFonts w:ascii="黑体" w:eastAsia="黑体" w:hAnsi="黑体" w:hint="eastAsia"/>
          <w:sz w:val="20"/>
          <w:szCs w:val="18"/>
        </w:rPr>
        <w:t>10</w:t>
      </w:r>
      <w:r>
        <w:rPr>
          <w:rFonts w:ascii="黑体" w:eastAsia="黑体" w:hAnsi="黑体" w:hint="eastAsia"/>
          <w:sz w:val="20"/>
          <w:szCs w:val="18"/>
        </w:rPr>
        <w:t>分值，分值越大，影响越大（</w:t>
      </w:r>
      <w:r>
        <w:rPr>
          <w:rFonts w:ascii="黑体" w:eastAsia="黑体" w:hAnsi="黑体" w:hint="eastAsia"/>
          <w:sz w:val="20"/>
          <w:szCs w:val="18"/>
        </w:rPr>
        <w:t>1</w:t>
      </w:r>
      <w:r>
        <w:rPr>
          <w:rFonts w:ascii="黑体" w:eastAsia="黑体" w:hAnsi="黑体" w:hint="eastAsia"/>
          <w:sz w:val="20"/>
          <w:szCs w:val="18"/>
        </w:rPr>
        <w:t>≤影响较小＜</w:t>
      </w:r>
      <w:r>
        <w:rPr>
          <w:rFonts w:ascii="黑体" w:eastAsia="黑体" w:hAnsi="黑体" w:hint="eastAsia"/>
          <w:sz w:val="20"/>
          <w:szCs w:val="18"/>
        </w:rPr>
        <w:t>3</w:t>
      </w:r>
      <w:r>
        <w:rPr>
          <w:rFonts w:ascii="黑体" w:eastAsia="黑体" w:hAnsi="黑体" w:hint="eastAsia"/>
          <w:sz w:val="20"/>
          <w:szCs w:val="18"/>
        </w:rPr>
        <w:t>；</w:t>
      </w:r>
      <w:r>
        <w:rPr>
          <w:rFonts w:ascii="黑体" w:eastAsia="黑体" w:hAnsi="黑体" w:hint="eastAsia"/>
          <w:sz w:val="20"/>
          <w:szCs w:val="18"/>
        </w:rPr>
        <w:t>3</w:t>
      </w:r>
      <w:r>
        <w:rPr>
          <w:rFonts w:ascii="黑体" w:eastAsia="黑体" w:hAnsi="黑体" w:hint="eastAsia"/>
          <w:sz w:val="20"/>
          <w:szCs w:val="18"/>
        </w:rPr>
        <w:t>≤影响一般＜</w:t>
      </w:r>
      <w:r>
        <w:rPr>
          <w:rFonts w:ascii="黑体" w:eastAsia="黑体" w:hAnsi="黑体" w:hint="eastAsia"/>
          <w:sz w:val="20"/>
          <w:szCs w:val="18"/>
        </w:rPr>
        <w:t>6</w:t>
      </w:r>
      <w:r>
        <w:rPr>
          <w:rFonts w:ascii="黑体" w:eastAsia="黑体" w:hAnsi="黑体" w:hint="eastAsia"/>
          <w:sz w:val="20"/>
          <w:szCs w:val="18"/>
        </w:rPr>
        <w:t>；</w:t>
      </w:r>
      <w:r>
        <w:rPr>
          <w:rFonts w:ascii="黑体" w:eastAsia="黑体" w:hAnsi="黑体" w:hint="eastAsia"/>
          <w:sz w:val="20"/>
          <w:szCs w:val="18"/>
        </w:rPr>
        <w:t>6</w:t>
      </w:r>
      <w:r>
        <w:rPr>
          <w:rFonts w:ascii="黑体" w:eastAsia="黑体" w:hAnsi="黑体" w:hint="eastAsia"/>
          <w:sz w:val="20"/>
          <w:szCs w:val="18"/>
        </w:rPr>
        <w:t>≤影响明显＜</w:t>
      </w:r>
      <w:r>
        <w:rPr>
          <w:rFonts w:ascii="黑体" w:eastAsia="黑体" w:hAnsi="黑体" w:hint="eastAsia"/>
          <w:sz w:val="20"/>
          <w:szCs w:val="18"/>
        </w:rPr>
        <w:t>8</w:t>
      </w:r>
      <w:r>
        <w:rPr>
          <w:rFonts w:ascii="黑体" w:eastAsia="黑体" w:hAnsi="黑体" w:hint="eastAsia"/>
          <w:sz w:val="20"/>
          <w:szCs w:val="18"/>
        </w:rPr>
        <w:t>；</w:t>
      </w:r>
      <w:r>
        <w:rPr>
          <w:rFonts w:ascii="黑体" w:eastAsia="黑体" w:hAnsi="黑体" w:hint="eastAsia"/>
          <w:sz w:val="20"/>
          <w:szCs w:val="18"/>
        </w:rPr>
        <w:t>8</w:t>
      </w:r>
      <w:r>
        <w:rPr>
          <w:rFonts w:ascii="黑体" w:eastAsia="黑体" w:hAnsi="黑体" w:hint="eastAsia"/>
          <w:sz w:val="20"/>
          <w:szCs w:val="18"/>
        </w:rPr>
        <w:t>≤影响严重＜</w:t>
      </w:r>
      <w:r>
        <w:rPr>
          <w:rFonts w:ascii="黑体" w:eastAsia="黑体" w:hAnsi="黑体" w:hint="eastAsia"/>
          <w:sz w:val="20"/>
          <w:szCs w:val="18"/>
        </w:rPr>
        <w:t>10</w:t>
      </w:r>
      <w:r>
        <w:rPr>
          <w:rFonts w:ascii="黑体" w:eastAsia="黑体" w:hAnsi="黑体" w:hint="eastAsia"/>
          <w:sz w:val="20"/>
          <w:szCs w:val="18"/>
        </w:rPr>
        <w:t>。）</w:t>
      </w:r>
    </w:p>
    <w:p w:rsidR="00F836E4" w:rsidRDefault="00B228FD">
      <w:pPr>
        <w:spacing w:after="156"/>
        <w:rPr>
          <w:rFonts w:ascii="微软雅黑" w:eastAsia="微软雅黑" w:hAnsi="微软雅黑"/>
          <w:b/>
          <w:bCs/>
        </w:rPr>
      </w:pPr>
      <w:r>
        <w:rPr>
          <w:rFonts w:ascii="微软雅黑" w:eastAsia="微软雅黑" w:hAnsi="微软雅黑" w:hint="eastAsia"/>
          <w:b/>
          <w:bCs/>
        </w:rPr>
        <w:t>流动资金普遍仅能短期支撑企业生产运营</w:t>
      </w:r>
    </w:p>
    <w:p w:rsidR="00F836E4" w:rsidRDefault="00B228FD">
      <w:pPr>
        <w:spacing w:after="120" w:line="300" w:lineRule="auto"/>
        <w:ind w:firstLineChars="200" w:firstLine="480"/>
      </w:pPr>
      <w:r>
        <w:rPr>
          <w:rFonts w:hint="eastAsia"/>
        </w:rPr>
        <w:t>调研结果显示，目前云南省多数工程勘察设计企业的流动资金只能支撑其半年以内的正常生产运营。其中</w:t>
      </w:r>
      <w:r>
        <w:rPr>
          <w:rFonts w:hint="eastAsia"/>
        </w:rPr>
        <w:t>40.5%</w:t>
      </w:r>
      <w:r>
        <w:rPr>
          <w:rFonts w:hint="eastAsia"/>
        </w:rPr>
        <w:t>的企业表示其流动资金仅能够支撑</w:t>
      </w:r>
      <w:r>
        <w:rPr>
          <w:rFonts w:hint="eastAsia"/>
        </w:rPr>
        <w:t>2</w:t>
      </w:r>
      <w:r>
        <w:rPr>
          <w:rFonts w:hint="eastAsia"/>
        </w:rPr>
        <w:t>至</w:t>
      </w:r>
      <w:r>
        <w:rPr>
          <w:rFonts w:hint="eastAsia"/>
        </w:rPr>
        <w:t>3</w:t>
      </w:r>
      <w:r>
        <w:rPr>
          <w:rFonts w:hint="eastAsia"/>
        </w:rPr>
        <w:t>个月；</w:t>
      </w:r>
      <w:r>
        <w:rPr>
          <w:rFonts w:hint="eastAsia"/>
        </w:rPr>
        <w:t>25%</w:t>
      </w:r>
      <w:r>
        <w:rPr>
          <w:rFonts w:hint="eastAsia"/>
        </w:rPr>
        <w:t>的企业表示其流动资金仅能够支撑</w:t>
      </w:r>
      <w:r>
        <w:rPr>
          <w:rFonts w:hint="eastAsia"/>
        </w:rPr>
        <w:t>3</w:t>
      </w:r>
      <w:r>
        <w:rPr>
          <w:rFonts w:hint="eastAsia"/>
        </w:rPr>
        <w:t>至</w:t>
      </w:r>
      <w:r>
        <w:rPr>
          <w:rFonts w:hint="eastAsia"/>
        </w:rPr>
        <w:t>6</w:t>
      </w:r>
      <w:r>
        <w:rPr>
          <w:rFonts w:hint="eastAsia"/>
        </w:rPr>
        <w:t>个月；仅有</w:t>
      </w:r>
      <w:r>
        <w:rPr>
          <w:rFonts w:hint="eastAsia"/>
        </w:rPr>
        <w:t>8.78</w:t>
      </w:r>
      <w:r>
        <w:rPr>
          <w:rFonts w:hint="eastAsia"/>
        </w:rPr>
        <w:t>%</w:t>
      </w:r>
      <w:r>
        <w:rPr>
          <w:rFonts w:hint="eastAsia"/>
        </w:rPr>
        <w:t>的企业表示其流动资金能够支撑正常生产运营一年以上。</w:t>
      </w:r>
    </w:p>
    <w:p w:rsidR="00F836E4" w:rsidRDefault="00F836E4">
      <w:pPr>
        <w:spacing w:after="120" w:line="300" w:lineRule="auto"/>
        <w:ind w:firstLineChars="200" w:firstLine="480"/>
      </w:pPr>
    </w:p>
    <w:p w:rsidR="00F836E4" w:rsidRDefault="00B228FD">
      <w:pPr>
        <w:spacing w:after="120"/>
        <w:jc w:val="center"/>
      </w:pPr>
      <w:r>
        <w:rPr>
          <w:noProof/>
        </w:rPr>
        <w:drawing>
          <wp:inline distT="0" distB="0" distL="0" distR="0">
            <wp:extent cx="4572000" cy="1914525"/>
            <wp:effectExtent l="0" t="0" r="0" b="0"/>
            <wp:docPr id="14"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5</w:t>
      </w:r>
      <w:r>
        <w:rPr>
          <w:rFonts w:ascii="华文楷体" w:eastAsia="华文楷体" w:hAnsi="华文楷体"/>
        </w:rPr>
        <w:fldChar w:fldCharType="end"/>
      </w:r>
      <w:r>
        <w:rPr>
          <w:rFonts w:ascii="华文楷体" w:eastAsia="华文楷体" w:hAnsi="华文楷体" w:hint="eastAsia"/>
        </w:rPr>
        <w:t>：</w:t>
      </w:r>
      <w:r>
        <w:rPr>
          <w:rFonts w:ascii="华文楷体" w:eastAsia="华文楷体" w:hAnsi="华文楷体"/>
        </w:rPr>
        <w:t>目前贵单位流动资金能支撑的时间</w:t>
      </w:r>
    </w:p>
    <w:p w:rsidR="00F836E4" w:rsidRDefault="00B228FD">
      <w:pPr>
        <w:spacing w:after="120" w:line="300" w:lineRule="auto"/>
        <w:ind w:firstLineChars="200" w:firstLine="480"/>
      </w:pPr>
      <w:r>
        <w:rPr>
          <w:rFonts w:hint="eastAsia"/>
        </w:rPr>
        <w:t>从不同细分行业流动资金支撑情况来看，建筑设计、工程勘察及专项设计企业普遍面临流动资金较为紧张的状况。主要受企业规模和企业性质影响，对于业务多元化企业而言，资金来源更加多样，尤其是部分企业通过开展</w:t>
      </w:r>
      <w:r>
        <w:rPr>
          <w:rFonts w:hint="eastAsia"/>
        </w:rPr>
        <w:t>B</w:t>
      </w:r>
      <w:r>
        <w:t>OT</w:t>
      </w:r>
      <w:r>
        <w:rPr>
          <w:rFonts w:hint="eastAsia"/>
        </w:rPr>
        <w:t>或合同能源管理业务能够使现金</w:t>
      </w:r>
      <w:proofErr w:type="gramStart"/>
      <w:r>
        <w:rPr>
          <w:rFonts w:hint="eastAsia"/>
        </w:rPr>
        <w:t>流保持</w:t>
      </w:r>
      <w:proofErr w:type="gramEnd"/>
      <w:r>
        <w:rPr>
          <w:rFonts w:hint="eastAsia"/>
        </w:rPr>
        <w:t>在较为稳定的水平，抗风险能力较强。</w:t>
      </w:r>
    </w:p>
    <w:p w:rsidR="00F836E4" w:rsidRDefault="00B228FD">
      <w:pPr>
        <w:spacing w:after="156"/>
        <w:jc w:val="center"/>
        <w:rPr>
          <w:rFonts w:ascii="微软雅黑" w:eastAsia="微软雅黑" w:hAnsi="微软雅黑"/>
          <w:b/>
          <w:bCs/>
        </w:rPr>
      </w:pPr>
      <w:r>
        <w:rPr>
          <w:noProof/>
        </w:rPr>
        <w:lastRenderedPageBreak/>
        <w:drawing>
          <wp:inline distT="0" distB="0" distL="0" distR="0">
            <wp:extent cx="5086350" cy="3051810"/>
            <wp:effectExtent l="0" t="0" r="0" b="0"/>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hint="eastAsia"/>
        </w:rPr>
        <w:t>图</w:t>
      </w:r>
      <w:r>
        <w:rPr>
          <w:rFonts w:ascii="华文楷体" w:eastAsia="华文楷体" w:hAnsi="华文楷体"/>
        </w:rPr>
        <w:fldChar w:fldCharType="begin"/>
      </w:r>
      <w:r>
        <w:rPr>
          <w:rFonts w:ascii="华文楷体" w:eastAsia="华文楷体" w:hAnsi="华文楷体"/>
        </w:rPr>
        <w:instrText xml:space="preserve"> </w:instrText>
      </w:r>
      <w:r>
        <w:rPr>
          <w:rFonts w:ascii="华文楷体" w:eastAsia="华文楷体" w:hAnsi="华文楷体" w:hint="eastAsia"/>
        </w:rPr>
        <w:instrText xml:space="preserve">SEQ </w:instrText>
      </w:r>
      <w:r>
        <w:rPr>
          <w:rFonts w:ascii="华文楷体" w:eastAsia="华文楷体" w:hAnsi="华文楷体" w:hint="eastAsia"/>
        </w:rPr>
        <w:instrText>图</w:instrText>
      </w:r>
      <w:r>
        <w:rPr>
          <w:rFonts w:ascii="华文楷体" w:eastAsia="华文楷体" w:hAnsi="华文楷体" w:hint="eastAsia"/>
        </w:rPr>
        <w:instrText>1- \* ARABIC</w:instrText>
      </w:r>
      <w:r>
        <w:rPr>
          <w:rFonts w:ascii="华文楷体" w:eastAsia="华文楷体" w:hAnsi="华文楷体"/>
        </w:rPr>
        <w:instrText xml:space="preserve"> </w:instrText>
      </w:r>
      <w:r>
        <w:rPr>
          <w:rFonts w:ascii="华文楷体" w:eastAsia="华文楷体" w:hAnsi="华文楷体"/>
        </w:rPr>
        <w:fldChar w:fldCharType="separate"/>
      </w:r>
      <w:r>
        <w:rPr>
          <w:rFonts w:ascii="华文楷体" w:eastAsia="华文楷体" w:hAnsi="华文楷体"/>
        </w:rPr>
        <w:t>6</w:t>
      </w:r>
      <w:r>
        <w:rPr>
          <w:rFonts w:ascii="华文楷体" w:eastAsia="华文楷体" w:hAnsi="华文楷体"/>
        </w:rPr>
        <w:fldChar w:fldCharType="end"/>
      </w:r>
      <w:r>
        <w:rPr>
          <w:rFonts w:ascii="华文楷体" w:eastAsia="华文楷体" w:hAnsi="华文楷体" w:hint="eastAsia"/>
        </w:rPr>
        <w:t>：不同细分行业流动资金能够支持的时间</w:t>
      </w:r>
    </w:p>
    <w:p w:rsidR="00F836E4" w:rsidRDefault="00B228FD">
      <w:pPr>
        <w:spacing w:after="156"/>
        <w:rPr>
          <w:rFonts w:ascii="微软雅黑" w:eastAsia="微软雅黑" w:hAnsi="微软雅黑"/>
          <w:b/>
          <w:bCs/>
        </w:rPr>
      </w:pPr>
      <w:r>
        <w:rPr>
          <w:rFonts w:ascii="微软雅黑" w:eastAsia="微软雅黑" w:hAnsi="微软雅黑" w:hint="eastAsia"/>
          <w:b/>
          <w:bCs/>
        </w:rPr>
        <w:t>多数企业新签合同额同期降幅两成以上；工程勘察与专项设计行业困难较大</w:t>
      </w:r>
    </w:p>
    <w:p w:rsidR="00F836E4" w:rsidRDefault="00B228FD">
      <w:pPr>
        <w:spacing w:after="120" w:line="300" w:lineRule="auto"/>
        <w:ind w:firstLineChars="200" w:firstLine="480"/>
      </w:pPr>
      <w:r>
        <w:rPr>
          <w:rFonts w:hint="eastAsia"/>
        </w:rPr>
        <w:t>调研结果显示，疫情对企业的新签合同额也带来了明显影响。其中</w:t>
      </w:r>
      <w:r>
        <w:rPr>
          <w:rFonts w:hint="eastAsia"/>
        </w:rPr>
        <w:t>57.4%</w:t>
      </w:r>
      <w:r>
        <w:rPr>
          <w:rFonts w:hint="eastAsia"/>
        </w:rPr>
        <w:t>的企业表示当前新签合同额与上一年同期相比下降了</w:t>
      </w:r>
      <w:r>
        <w:rPr>
          <w:rFonts w:hint="eastAsia"/>
        </w:rPr>
        <w:t>20%</w:t>
      </w:r>
      <w:r>
        <w:rPr>
          <w:rFonts w:hint="eastAsia"/>
        </w:rPr>
        <w:t>以上；</w:t>
      </w:r>
      <w:r>
        <w:rPr>
          <w:rFonts w:hint="eastAsia"/>
        </w:rPr>
        <w:t>23.0%</w:t>
      </w:r>
      <w:r>
        <w:rPr>
          <w:rFonts w:hint="eastAsia"/>
        </w:rPr>
        <w:t>的企业表示下降了</w:t>
      </w:r>
      <w:r>
        <w:rPr>
          <w:rFonts w:hint="eastAsia"/>
        </w:rPr>
        <w:t>10%-20%</w:t>
      </w:r>
      <w:r>
        <w:rPr>
          <w:rFonts w:hint="eastAsia"/>
        </w:rPr>
        <w:t>；仅有</w:t>
      </w:r>
      <w:r>
        <w:rPr>
          <w:rFonts w:hint="eastAsia"/>
        </w:rPr>
        <w:t>2.1%</w:t>
      </w:r>
      <w:r>
        <w:rPr>
          <w:rFonts w:hint="eastAsia"/>
        </w:rPr>
        <w:t>的企业表示其新签合同额有所增长，其中有</w:t>
      </w:r>
      <w:r>
        <w:rPr>
          <w:rFonts w:hint="eastAsia"/>
        </w:rPr>
        <w:t>1.4%</w:t>
      </w:r>
      <w:r>
        <w:rPr>
          <w:rFonts w:hint="eastAsia"/>
        </w:rPr>
        <w:t>的企业表示受到疫情影响较小，其新签合同额同比增长了</w:t>
      </w:r>
      <w:r>
        <w:rPr>
          <w:rFonts w:hint="eastAsia"/>
        </w:rPr>
        <w:t>10%</w:t>
      </w:r>
      <w:r>
        <w:rPr>
          <w:rFonts w:hint="eastAsia"/>
        </w:rPr>
        <w:t>以上。</w:t>
      </w:r>
    </w:p>
    <w:p w:rsidR="00F836E4" w:rsidRDefault="00B228FD">
      <w:pPr>
        <w:spacing w:after="120"/>
        <w:jc w:val="center"/>
      </w:pPr>
      <w:r>
        <w:rPr>
          <w:noProof/>
        </w:rPr>
        <w:drawing>
          <wp:inline distT="0" distB="0" distL="0" distR="0">
            <wp:extent cx="4572000" cy="2533650"/>
            <wp:effectExtent l="0" t="0" r="0" b="0"/>
            <wp:docPr id="63" name="图表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7</w:t>
      </w:r>
      <w:r>
        <w:rPr>
          <w:rFonts w:ascii="华文楷体" w:eastAsia="华文楷体" w:hAnsi="华文楷体"/>
        </w:rPr>
        <w:fldChar w:fldCharType="end"/>
      </w:r>
      <w:r>
        <w:rPr>
          <w:rFonts w:ascii="华文楷体" w:eastAsia="华文楷体" w:hAnsi="华文楷体" w:hint="eastAsia"/>
        </w:rPr>
        <w:t>：</w:t>
      </w:r>
      <w:r>
        <w:rPr>
          <w:rFonts w:ascii="华文楷体" w:eastAsia="华文楷体" w:hAnsi="华文楷体"/>
        </w:rPr>
        <w:t>当前企业新签合同额与上一年同期相比</w:t>
      </w:r>
    </w:p>
    <w:p w:rsidR="00F836E4" w:rsidRDefault="00B228FD">
      <w:pPr>
        <w:spacing w:after="120" w:line="300" w:lineRule="auto"/>
        <w:ind w:firstLineChars="200" w:firstLine="480"/>
      </w:pPr>
      <w:r>
        <w:rPr>
          <w:rFonts w:hint="eastAsia"/>
        </w:rPr>
        <w:t>从细分行业来看，仅有个别单位表示新签合同额与上一年同期相比仍保持增长。约</w:t>
      </w:r>
      <w:r>
        <w:rPr>
          <w:rFonts w:hint="eastAsia"/>
        </w:rPr>
        <w:t>90%</w:t>
      </w:r>
      <w:r>
        <w:rPr>
          <w:rFonts w:hint="eastAsia"/>
        </w:rPr>
        <w:t>的工程勘察类、专项设计类企业以及约</w:t>
      </w:r>
      <w:r>
        <w:rPr>
          <w:rFonts w:hint="eastAsia"/>
        </w:rPr>
        <w:t>8</w:t>
      </w:r>
      <w:r>
        <w:t>0%</w:t>
      </w:r>
      <w:r>
        <w:rPr>
          <w:rFonts w:hint="eastAsia"/>
        </w:rPr>
        <w:t>的建筑设计企业表示新签合同额将下滑</w:t>
      </w:r>
      <w:r>
        <w:rPr>
          <w:rFonts w:hint="eastAsia"/>
        </w:rPr>
        <w:t>10</w:t>
      </w:r>
      <w:r>
        <w:t>%</w:t>
      </w:r>
      <w:r>
        <w:rPr>
          <w:rFonts w:hint="eastAsia"/>
        </w:rPr>
        <w:t>以上。</w:t>
      </w:r>
    </w:p>
    <w:p w:rsidR="00F836E4" w:rsidRDefault="00B228FD">
      <w:pPr>
        <w:jc w:val="center"/>
      </w:pPr>
      <w:r>
        <w:rPr>
          <w:noProof/>
        </w:rPr>
        <w:lastRenderedPageBreak/>
        <w:drawing>
          <wp:inline distT="0" distB="0" distL="0" distR="0">
            <wp:extent cx="5274310" cy="2628265"/>
            <wp:effectExtent l="0" t="0" r="2540" b="635"/>
            <wp:docPr id="20" name="图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hint="eastAsia"/>
        </w:rPr>
        <w:t>图</w:t>
      </w:r>
      <w:r>
        <w:rPr>
          <w:rFonts w:ascii="华文楷体" w:eastAsia="华文楷体" w:hAnsi="华文楷体"/>
        </w:rPr>
        <w:fldChar w:fldCharType="begin"/>
      </w:r>
      <w:r>
        <w:rPr>
          <w:rFonts w:ascii="华文楷体" w:eastAsia="华文楷体" w:hAnsi="华文楷体"/>
        </w:rPr>
        <w:instrText xml:space="preserve"> </w:instrText>
      </w:r>
      <w:r>
        <w:rPr>
          <w:rFonts w:ascii="华文楷体" w:eastAsia="华文楷体" w:hAnsi="华文楷体" w:hint="eastAsia"/>
        </w:rPr>
        <w:instrText xml:space="preserve">SEQ </w:instrText>
      </w:r>
      <w:r>
        <w:rPr>
          <w:rFonts w:ascii="华文楷体" w:eastAsia="华文楷体" w:hAnsi="华文楷体" w:hint="eastAsia"/>
        </w:rPr>
        <w:instrText>图</w:instrText>
      </w:r>
      <w:r>
        <w:rPr>
          <w:rFonts w:ascii="华文楷体" w:eastAsia="华文楷体" w:hAnsi="华文楷体" w:hint="eastAsia"/>
        </w:rPr>
        <w:instrText>1- \* ARABIC</w:instrText>
      </w:r>
      <w:r>
        <w:rPr>
          <w:rFonts w:ascii="华文楷体" w:eastAsia="华文楷体" w:hAnsi="华文楷体"/>
        </w:rPr>
        <w:instrText xml:space="preserve"> </w:instrText>
      </w:r>
      <w:r>
        <w:rPr>
          <w:rFonts w:ascii="华文楷体" w:eastAsia="华文楷体" w:hAnsi="华文楷体"/>
        </w:rPr>
        <w:fldChar w:fldCharType="separate"/>
      </w:r>
      <w:r>
        <w:rPr>
          <w:rFonts w:ascii="华文楷体" w:eastAsia="华文楷体" w:hAnsi="华文楷体"/>
        </w:rPr>
        <w:t>8</w:t>
      </w:r>
      <w:r>
        <w:rPr>
          <w:rFonts w:ascii="华文楷体" w:eastAsia="华文楷体" w:hAnsi="华文楷体"/>
        </w:rPr>
        <w:fldChar w:fldCharType="end"/>
      </w:r>
      <w:r>
        <w:rPr>
          <w:rFonts w:ascii="华文楷体" w:eastAsia="华文楷体" w:hAnsi="华文楷体" w:hint="eastAsia"/>
        </w:rPr>
        <w:t>：不同细分行业</w:t>
      </w:r>
      <w:r>
        <w:rPr>
          <w:rFonts w:ascii="华文楷体" w:eastAsia="华文楷体" w:hAnsi="华文楷体"/>
        </w:rPr>
        <w:t>当前企业新签合同额与上一年同期相比</w:t>
      </w:r>
    </w:p>
    <w:p w:rsidR="00F836E4" w:rsidRDefault="00B228FD">
      <w:pPr>
        <w:spacing w:after="156"/>
        <w:rPr>
          <w:rFonts w:ascii="微软雅黑" w:eastAsia="微软雅黑" w:hAnsi="微软雅黑"/>
          <w:b/>
          <w:bCs/>
        </w:rPr>
      </w:pPr>
      <w:r>
        <w:rPr>
          <w:rFonts w:ascii="微软雅黑" w:eastAsia="微软雅黑" w:hAnsi="微软雅黑" w:hint="eastAsia"/>
          <w:b/>
          <w:bCs/>
        </w:rPr>
        <w:t>83.8</w:t>
      </w:r>
      <w:r>
        <w:rPr>
          <w:rFonts w:ascii="微软雅黑" w:eastAsia="微软雅黑" w:hAnsi="微软雅黑"/>
          <w:b/>
          <w:bCs/>
        </w:rPr>
        <w:t>%</w:t>
      </w:r>
      <w:r>
        <w:rPr>
          <w:rFonts w:ascii="微软雅黑" w:eastAsia="微软雅黑" w:hAnsi="微软雅黑" w:hint="eastAsia"/>
          <w:b/>
          <w:bCs/>
        </w:rPr>
        <w:t>的企业表示当前在手合同量不足正常经营状况下的一半</w:t>
      </w:r>
    </w:p>
    <w:p w:rsidR="00F836E4" w:rsidRDefault="00B228FD">
      <w:pPr>
        <w:spacing w:after="120" w:line="300" w:lineRule="auto"/>
        <w:ind w:firstLineChars="200" w:firstLine="480"/>
      </w:pPr>
      <w:r>
        <w:rPr>
          <w:rFonts w:hint="eastAsia"/>
        </w:rPr>
        <w:t>调研结果显示，与正常生产经营状况相比，目前企业在手的合同</w:t>
      </w:r>
      <w:proofErr w:type="gramStart"/>
      <w:r>
        <w:rPr>
          <w:rFonts w:hint="eastAsia"/>
        </w:rPr>
        <w:t>量整体</w:t>
      </w:r>
      <w:proofErr w:type="gramEnd"/>
      <w:r>
        <w:rPr>
          <w:rFonts w:hint="eastAsia"/>
        </w:rPr>
        <w:t>偏低，大多数企业在手合同量不足正常状况下的</w:t>
      </w:r>
      <w:r>
        <w:rPr>
          <w:rFonts w:hint="eastAsia"/>
        </w:rPr>
        <w:t>50%</w:t>
      </w:r>
      <w:r>
        <w:rPr>
          <w:rFonts w:hint="eastAsia"/>
        </w:rPr>
        <w:t>。其中</w:t>
      </w:r>
      <w:r>
        <w:rPr>
          <w:rFonts w:hint="eastAsia"/>
        </w:rPr>
        <w:t>59.5%</w:t>
      </w:r>
      <w:r>
        <w:rPr>
          <w:rFonts w:hint="eastAsia"/>
        </w:rPr>
        <w:t>的企业表示其在手合同量仅能够达到正常生产运营状况的</w:t>
      </w:r>
      <w:r>
        <w:rPr>
          <w:rFonts w:hint="eastAsia"/>
        </w:rPr>
        <w:t>30%</w:t>
      </w:r>
      <w:r>
        <w:rPr>
          <w:rFonts w:hint="eastAsia"/>
        </w:rPr>
        <w:t>以</w:t>
      </w:r>
      <w:r>
        <w:rPr>
          <w:rFonts w:hint="eastAsia"/>
        </w:rPr>
        <w:t>下，倘若疫情不能尽早结束，这些企业生存压力将逐渐增大；</w:t>
      </w:r>
      <w:r>
        <w:rPr>
          <w:rFonts w:hint="eastAsia"/>
        </w:rPr>
        <w:t>24.3%</w:t>
      </w:r>
      <w:r>
        <w:rPr>
          <w:rFonts w:hint="eastAsia"/>
        </w:rPr>
        <w:t>的企业表示能达到正常状况的</w:t>
      </w:r>
      <w:r>
        <w:rPr>
          <w:rFonts w:hint="eastAsia"/>
        </w:rPr>
        <w:t>30%-50%</w:t>
      </w:r>
      <w:r>
        <w:rPr>
          <w:rFonts w:hint="eastAsia"/>
        </w:rPr>
        <w:t>；仅有</w:t>
      </w:r>
      <w:r>
        <w:rPr>
          <w:rFonts w:hint="eastAsia"/>
        </w:rPr>
        <w:t>1.4%</w:t>
      </w:r>
      <w:r>
        <w:rPr>
          <w:rFonts w:hint="eastAsia"/>
        </w:rPr>
        <w:t>的企业表示合同存量没有受到疫情影响，在手的合同</w:t>
      </w:r>
      <w:proofErr w:type="gramStart"/>
      <w:r>
        <w:rPr>
          <w:rFonts w:hint="eastAsia"/>
        </w:rPr>
        <w:t>量能够</w:t>
      </w:r>
      <w:proofErr w:type="gramEnd"/>
      <w:r>
        <w:rPr>
          <w:rFonts w:hint="eastAsia"/>
        </w:rPr>
        <w:t>达到正常生产运营状况的</w:t>
      </w:r>
      <w:r>
        <w:rPr>
          <w:rFonts w:hint="eastAsia"/>
        </w:rPr>
        <w:t>9</w:t>
      </w:r>
      <w:r>
        <w:t>0%</w:t>
      </w:r>
      <w:r>
        <w:rPr>
          <w:rFonts w:hint="eastAsia"/>
        </w:rPr>
        <w:t>以上。</w:t>
      </w:r>
    </w:p>
    <w:p w:rsidR="00F836E4" w:rsidRDefault="00B228FD">
      <w:pPr>
        <w:spacing w:after="120"/>
        <w:jc w:val="center"/>
      </w:pPr>
      <w:r>
        <w:rPr>
          <w:noProof/>
        </w:rPr>
        <w:drawing>
          <wp:inline distT="0" distB="0" distL="0" distR="0">
            <wp:extent cx="4991735" cy="2028825"/>
            <wp:effectExtent l="0" t="0" r="0" b="3175"/>
            <wp:docPr id="16"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9</w:t>
      </w:r>
      <w:r>
        <w:rPr>
          <w:rFonts w:ascii="华文楷体" w:eastAsia="华文楷体" w:hAnsi="华文楷体"/>
        </w:rPr>
        <w:fldChar w:fldCharType="end"/>
      </w:r>
      <w:r>
        <w:rPr>
          <w:rFonts w:ascii="华文楷体" w:eastAsia="华文楷体" w:hAnsi="华文楷体" w:hint="eastAsia"/>
        </w:rPr>
        <w:t>：</w:t>
      </w:r>
      <w:r>
        <w:rPr>
          <w:rFonts w:ascii="华文楷体" w:eastAsia="华文楷体" w:hAnsi="华文楷体"/>
        </w:rPr>
        <w:t>按照正常的生产经营状况，目前企业在手的合同量</w:t>
      </w:r>
    </w:p>
    <w:p w:rsidR="00F836E4" w:rsidRDefault="00B228FD">
      <w:pPr>
        <w:spacing w:after="120" w:line="300" w:lineRule="auto"/>
        <w:ind w:firstLineChars="200" w:firstLine="480"/>
      </w:pPr>
      <w:r>
        <w:rPr>
          <w:rFonts w:hint="eastAsia"/>
        </w:rPr>
        <w:t>从细分行业来看，多数细分行业目前在手合同量低于</w:t>
      </w:r>
      <w:r>
        <w:rPr>
          <w:rFonts w:hint="eastAsia"/>
        </w:rPr>
        <w:t>5</w:t>
      </w:r>
      <w:r>
        <w:t>0%</w:t>
      </w:r>
      <w:r>
        <w:rPr>
          <w:rFonts w:hint="eastAsia"/>
        </w:rPr>
        <w:t>，仅有</w:t>
      </w:r>
      <w:r>
        <w:rPr>
          <w:rFonts w:hint="eastAsia"/>
        </w:rPr>
        <w:t>2.9</w:t>
      </w:r>
      <w:r>
        <w:t>%</w:t>
      </w:r>
      <w:r>
        <w:rPr>
          <w:rFonts w:hint="eastAsia"/>
        </w:rPr>
        <w:t>的工程勘察类企业以及</w:t>
      </w:r>
      <w:r>
        <w:rPr>
          <w:rFonts w:hint="eastAsia"/>
        </w:rPr>
        <w:t>5.3%</w:t>
      </w:r>
      <w:r>
        <w:rPr>
          <w:rFonts w:hint="eastAsia"/>
        </w:rPr>
        <w:t>的其他类企业表示目前在手合同量满足</w:t>
      </w:r>
      <w:r>
        <w:rPr>
          <w:rFonts w:hint="eastAsia"/>
        </w:rPr>
        <w:t>9</w:t>
      </w:r>
      <w:r>
        <w:t>0%</w:t>
      </w:r>
      <w:r>
        <w:rPr>
          <w:rFonts w:hint="eastAsia"/>
        </w:rPr>
        <w:t>以上。</w:t>
      </w:r>
    </w:p>
    <w:p w:rsidR="00F836E4" w:rsidRDefault="00B228FD">
      <w:pPr>
        <w:jc w:val="center"/>
      </w:pPr>
      <w:r>
        <w:rPr>
          <w:noProof/>
        </w:rPr>
        <w:lastRenderedPageBreak/>
        <w:drawing>
          <wp:inline distT="0" distB="0" distL="0" distR="0">
            <wp:extent cx="5172075" cy="2509520"/>
            <wp:effectExtent l="0" t="0" r="0" b="0"/>
            <wp:docPr id="17"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hint="eastAsia"/>
        </w:rPr>
        <w:t>图</w:t>
      </w:r>
      <w:r>
        <w:rPr>
          <w:rFonts w:ascii="华文楷体" w:eastAsia="华文楷体" w:hAnsi="华文楷体"/>
        </w:rPr>
        <w:fldChar w:fldCharType="begin"/>
      </w:r>
      <w:r>
        <w:rPr>
          <w:rFonts w:ascii="华文楷体" w:eastAsia="华文楷体" w:hAnsi="华文楷体"/>
        </w:rPr>
        <w:instrText xml:space="preserve"> </w:instrText>
      </w:r>
      <w:r>
        <w:rPr>
          <w:rFonts w:ascii="华文楷体" w:eastAsia="华文楷体" w:hAnsi="华文楷体" w:hint="eastAsia"/>
        </w:rPr>
        <w:instrText xml:space="preserve">SEQ </w:instrText>
      </w:r>
      <w:r>
        <w:rPr>
          <w:rFonts w:ascii="华文楷体" w:eastAsia="华文楷体" w:hAnsi="华文楷体" w:hint="eastAsia"/>
        </w:rPr>
        <w:instrText>图</w:instrText>
      </w:r>
      <w:r>
        <w:rPr>
          <w:rFonts w:ascii="华文楷体" w:eastAsia="华文楷体" w:hAnsi="华文楷体" w:hint="eastAsia"/>
        </w:rPr>
        <w:instrText>1- \* ARABIC</w:instrText>
      </w:r>
      <w:r>
        <w:rPr>
          <w:rFonts w:ascii="华文楷体" w:eastAsia="华文楷体" w:hAnsi="华文楷体"/>
        </w:rPr>
        <w:instrText xml:space="preserve"> </w:instrText>
      </w:r>
      <w:r>
        <w:rPr>
          <w:rFonts w:ascii="华文楷体" w:eastAsia="华文楷体" w:hAnsi="华文楷体"/>
        </w:rPr>
        <w:fldChar w:fldCharType="separate"/>
      </w:r>
      <w:r>
        <w:rPr>
          <w:rFonts w:ascii="华文楷体" w:eastAsia="华文楷体" w:hAnsi="华文楷体"/>
        </w:rPr>
        <w:t>10</w:t>
      </w:r>
      <w:r>
        <w:rPr>
          <w:rFonts w:ascii="华文楷体" w:eastAsia="华文楷体" w:hAnsi="华文楷体"/>
        </w:rPr>
        <w:fldChar w:fldCharType="end"/>
      </w:r>
      <w:r>
        <w:rPr>
          <w:rFonts w:ascii="华文楷体" w:eastAsia="华文楷体" w:hAnsi="华文楷体" w:hint="eastAsia"/>
        </w:rPr>
        <w:t>：不同细分</w:t>
      </w:r>
      <w:r>
        <w:rPr>
          <w:rFonts w:ascii="华文楷体" w:eastAsia="华文楷体" w:hAnsi="华文楷体" w:hint="eastAsia"/>
        </w:rPr>
        <w:t>行业以</w:t>
      </w:r>
      <w:r>
        <w:rPr>
          <w:rFonts w:ascii="华文楷体" w:eastAsia="华文楷体" w:hAnsi="华文楷体"/>
        </w:rPr>
        <w:t>正常生产经营状况</w:t>
      </w:r>
      <w:r>
        <w:rPr>
          <w:rFonts w:ascii="华文楷体" w:eastAsia="华文楷体" w:hAnsi="华文楷体" w:hint="eastAsia"/>
        </w:rPr>
        <w:t>为参照，</w:t>
      </w:r>
      <w:r>
        <w:rPr>
          <w:rFonts w:ascii="华文楷体" w:eastAsia="华文楷体" w:hAnsi="华文楷体"/>
        </w:rPr>
        <w:t>目前企业在手的合同量</w:t>
      </w:r>
    </w:p>
    <w:p w:rsidR="00F836E4" w:rsidRDefault="00B228FD">
      <w:pPr>
        <w:spacing w:after="156"/>
        <w:rPr>
          <w:rFonts w:ascii="微软雅黑" w:eastAsia="微软雅黑" w:hAnsi="微软雅黑"/>
          <w:b/>
          <w:bCs/>
        </w:rPr>
      </w:pPr>
      <w:r>
        <w:rPr>
          <w:rFonts w:ascii="微软雅黑" w:eastAsia="微软雅黑" w:hAnsi="微软雅黑" w:hint="eastAsia"/>
          <w:b/>
          <w:bCs/>
        </w:rPr>
        <w:t>多数企业表示疫情将会带来经营成本的增长</w:t>
      </w:r>
    </w:p>
    <w:p w:rsidR="00F836E4" w:rsidRDefault="00B228FD">
      <w:pPr>
        <w:spacing w:after="120" w:line="300" w:lineRule="auto"/>
        <w:ind w:firstLineChars="200" w:firstLine="480"/>
      </w:pPr>
      <w:r>
        <w:rPr>
          <w:rFonts w:hint="eastAsia"/>
        </w:rPr>
        <w:t>调研结果显示，多数企业的经营成本将会受到疫情影响。</w:t>
      </w:r>
      <w:r>
        <w:rPr>
          <w:rFonts w:hint="eastAsia"/>
        </w:rPr>
        <w:t>48.6%</w:t>
      </w:r>
      <w:r>
        <w:rPr>
          <w:rFonts w:hint="eastAsia"/>
        </w:rPr>
        <w:t>的企业表示其经营成本会有所增长，其中</w:t>
      </w:r>
      <w:r>
        <w:rPr>
          <w:rFonts w:hint="eastAsia"/>
        </w:rPr>
        <w:t>14.9%</w:t>
      </w:r>
      <w:r>
        <w:rPr>
          <w:rFonts w:hint="eastAsia"/>
        </w:rPr>
        <w:t>的企业表示其经营成本会增长</w:t>
      </w:r>
      <w:r>
        <w:rPr>
          <w:rFonts w:hint="eastAsia"/>
        </w:rPr>
        <w:t>20%</w:t>
      </w:r>
      <w:r>
        <w:rPr>
          <w:rFonts w:hint="eastAsia"/>
        </w:rPr>
        <w:t>以上。此外，有</w:t>
      </w:r>
      <w:r>
        <w:rPr>
          <w:rFonts w:hint="eastAsia"/>
        </w:rPr>
        <w:t>20.3%</w:t>
      </w:r>
      <w:r>
        <w:rPr>
          <w:rFonts w:hint="eastAsia"/>
        </w:rPr>
        <w:t>的企业表示其经营成本的变化尚无法判断，需进一步观察分析。值得注意的是，有</w:t>
      </w:r>
      <w:r>
        <w:rPr>
          <w:rFonts w:hint="eastAsia"/>
        </w:rPr>
        <w:t>13.5%</w:t>
      </w:r>
      <w:r>
        <w:rPr>
          <w:rFonts w:hint="eastAsia"/>
        </w:rPr>
        <w:t>的企业表示疫情会导致经营成本减少</w:t>
      </w:r>
      <w:r>
        <w:rPr>
          <w:rFonts w:hint="eastAsia"/>
        </w:rPr>
        <w:t>20%</w:t>
      </w:r>
      <w:r>
        <w:rPr>
          <w:rFonts w:hint="eastAsia"/>
        </w:rPr>
        <w:t>以上。通过调研了解到，造成经营成本降低的因素来自于</w:t>
      </w:r>
      <w:proofErr w:type="gramStart"/>
      <w:r>
        <w:rPr>
          <w:rFonts w:hint="eastAsia"/>
        </w:rPr>
        <w:t>受业务</w:t>
      </w:r>
      <w:proofErr w:type="gramEnd"/>
      <w:r>
        <w:rPr>
          <w:rFonts w:hint="eastAsia"/>
        </w:rPr>
        <w:t>开拓影响部分企业所采取的裁员以及薪酬调整带来的经营成本降低。</w:t>
      </w:r>
    </w:p>
    <w:p w:rsidR="00F836E4" w:rsidRDefault="00B228FD">
      <w:pPr>
        <w:spacing w:after="120"/>
        <w:jc w:val="center"/>
      </w:pPr>
      <w:r>
        <w:rPr>
          <w:noProof/>
        </w:rPr>
        <w:drawing>
          <wp:inline distT="0" distB="0" distL="0" distR="0">
            <wp:extent cx="4572000" cy="2505075"/>
            <wp:effectExtent l="0" t="0" r="0" b="0"/>
            <wp:docPr id="21" name="图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1</w:instrText>
      </w:r>
      <w:r>
        <w:rPr>
          <w:rFonts w:ascii="华文楷体" w:eastAsia="华文楷体" w:hAnsi="华文楷体"/>
        </w:rPr>
        <w:instrText xml:space="preserve">- \* ARABIC </w:instrText>
      </w:r>
      <w:r>
        <w:rPr>
          <w:rFonts w:ascii="华文楷体" w:eastAsia="华文楷体" w:hAnsi="华文楷体"/>
        </w:rPr>
        <w:fldChar w:fldCharType="separate"/>
      </w:r>
      <w:r>
        <w:rPr>
          <w:rFonts w:ascii="华文楷体" w:eastAsia="华文楷体" w:hAnsi="华文楷体"/>
        </w:rPr>
        <w:t>11</w:t>
      </w:r>
      <w:r>
        <w:rPr>
          <w:rFonts w:ascii="华文楷体" w:eastAsia="华文楷体" w:hAnsi="华文楷体"/>
        </w:rPr>
        <w:fldChar w:fldCharType="end"/>
      </w:r>
      <w:r>
        <w:rPr>
          <w:rFonts w:ascii="华文楷体" w:eastAsia="华文楷体" w:hAnsi="华文楷体" w:hint="eastAsia"/>
        </w:rPr>
        <w:t>：</w:t>
      </w:r>
      <w:r>
        <w:rPr>
          <w:rFonts w:ascii="华文楷体" w:eastAsia="华文楷体" w:hAnsi="华文楷体"/>
        </w:rPr>
        <w:t>本次疫情对贵单位的经营成本带来的影响</w:t>
      </w:r>
    </w:p>
    <w:p w:rsidR="00F836E4" w:rsidRDefault="00B228FD">
      <w:pPr>
        <w:spacing w:after="156"/>
        <w:rPr>
          <w:rFonts w:ascii="微软雅黑" w:eastAsia="微软雅黑" w:hAnsi="微软雅黑"/>
          <w:b/>
          <w:bCs/>
        </w:rPr>
      </w:pPr>
      <w:r>
        <w:rPr>
          <w:rFonts w:ascii="微软雅黑" w:eastAsia="微软雅黑" w:hAnsi="微软雅黑"/>
          <w:b/>
          <w:bCs/>
        </w:rPr>
        <w:t>形势不明朗</w:t>
      </w:r>
      <w:r>
        <w:rPr>
          <w:rFonts w:ascii="微软雅黑" w:eastAsia="微软雅黑" w:hAnsi="微软雅黑" w:hint="eastAsia"/>
          <w:b/>
          <w:bCs/>
        </w:rPr>
        <w:t>导致</w:t>
      </w:r>
      <w:r>
        <w:rPr>
          <w:rFonts w:ascii="微软雅黑" w:eastAsia="微软雅黑" w:hAnsi="微软雅黑"/>
          <w:b/>
          <w:bCs/>
        </w:rPr>
        <w:t>预期年收入有所下滑，第一季度收入下滑明显</w:t>
      </w:r>
    </w:p>
    <w:p w:rsidR="00F836E4" w:rsidRDefault="00B228FD">
      <w:pPr>
        <w:spacing w:after="120" w:line="300" w:lineRule="auto"/>
        <w:ind w:firstLineChars="200" w:firstLine="480"/>
      </w:pPr>
      <w:r>
        <w:t>调研结果显示，多数企业认为</w:t>
      </w:r>
      <w:r>
        <w:rPr>
          <w:rFonts w:hint="eastAsia"/>
        </w:rPr>
        <w:t>其</w:t>
      </w:r>
      <w:r>
        <w:t>营业收入将有所下滑。</w:t>
      </w:r>
      <w:r>
        <w:rPr>
          <w:rFonts w:hint="eastAsia"/>
        </w:rPr>
        <w:t>30.4%</w:t>
      </w:r>
      <w:r>
        <w:rPr>
          <w:rFonts w:hint="eastAsia"/>
        </w:rPr>
        <w:t>的</w:t>
      </w:r>
      <w:r>
        <w:t>企业表示其年营业收入会减少</w:t>
      </w:r>
      <w:r>
        <w:rPr>
          <w:rFonts w:hint="eastAsia"/>
        </w:rPr>
        <w:t>10%-20%</w:t>
      </w:r>
      <w:r>
        <w:rPr>
          <w:rFonts w:hint="eastAsia"/>
        </w:rPr>
        <w:t>；</w:t>
      </w:r>
      <w:r>
        <w:rPr>
          <w:rFonts w:hint="eastAsia"/>
        </w:rPr>
        <w:t>18.2%</w:t>
      </w:r>
      <w:r>
        <w:rPr>
          <w:rFonts w:hint="eastAsia"/>
        </w:rPr>
        <w:t>的企业认为会减少</w:t>
      </w:r>
      <w:r>
        <w:rPr>
          <w:rFonts w:hint="eastAsia"/>
        </w:rPr>
        <w:t>20%-30%</w:t>
      </w:r>
      <w:r>
        <w:rPr>
          <w:rFonts w:hint="eastAsia"/>
        </w:rPr>
        <w:t>；</w:t>
      </w:r>
      <w:r>
        <w:rPr>
          <w:rFonts w:hint="eastAsia"/>
        </w:rPr>
        <w:t>27.0%</w:t>
      </w:r>
      <w:r>
        <w:rPr>
          <w:rFonts w:hint="eastAsia"/>
        </w:rPr>
        <w:t>的认为会</w:t>
      </w:r>
      <w:r>
        <w:rPr>
          <w:rFonts w:hint="eastAsia"/>
        </w:rPr>
        <w:lastRenderedPageBreak/>
        <w:t>减少</w:t>
      </w:r>
      <w:r>
        <w:rPr>
          <w:rFonts w:hint="eastAsia"/>
        </w:rPr>
        <w:t>30%</w:t>
      </w:r>
      <w:r>
        <w:rPr>
          <w:rFonts w:hint="eastAsia"/>
        </w:rPr>
        <w:t>以上，整体态度较为悲观。同时，对于第一季度营业收入的预期判断，</w:t>
      </w:r>
      <w:r>
        <w:rPr>
          <w:rFonts w:hint="eastAsia"/>
        </w:rPr>
        <w:t>41.9%</w:t>
      </w:r>
      <w:r>
        <w:rPr>
          <w:rFonts w:hint="eastAsia"/>
        </w:rPr>
        <w:t>的企业表示其第一季度营业收入会下滑</w:t>
      </w:r>
      <w:r>
        <w:rPr>
          <w:rFonts w:hint="eastAsia"/>
        </w:rPr>
        <w:t>30%</w:t>
      </w:r>
      <w:r>
        <w:rPr>
          <w:rFonts w:hint="eastAsia"/>
        </w:rPr>
        <w:t>以上，形势更为不乐观。</w:t>
      </w:r>
    </w:p>
    <w:p w:rsidR="00F836E4" w:rsidRDefault="00B228FD">
      <w:pPr>
        <w:spacing w:after="120"/>
        <w:jc w:val="center"/>
      </w:pPr>
      <w:r>
        <w:rPr>
          <w:noProof/>
        </w:rPr>
        <w:drawing>
          <wp:inline distT="0" distB="0" distL="0" distR="0">
            <wp:extent cx="4572000" cy="2743200"/>
            <wp:effectExtent l="0" t="0" r="0" b="0"/>
            <wp:docPr id="22" name="图表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12</w:t>
      </w:r>
      <w:r>
        <w:rPr>
          <w:rFonts w:ascii="华文楷体" w:eastAsia="华文楷体" w:hAnsi="华文楷体"/>
        </w:rPr>
        <w:fldChar w:fldCharType="end"/>
      </w:r>
      <w:r>
        <w:rPr>
          <w:rFonts w:ascii="华文楷体" w:eastAsia="华文楷体" w:hAnsi="华文楷体" w:hint="eastAsia"/>
        </w:rPr>
        <w:t>：预计年营业收入与第一季度营业收入同比变化</w:t>
      </w:r>
    </w:p>
    <w:p w:rsidR="00F836E4" w:rsidRDefault="00B228FD">
      <w:pPr>
        <w:spacing w:after="156"/>
        <w:rPr>
          <w:rFonts w:ascii="微软雅黑" w:eastAsia="微软雅黑" w:hAnsi="微软雅黑"/>
          <w:b/>
          <w:bCs/>
        </w:rPr>
      </w:pPr>
      <w:r>
        <w:rPr>
          <w:rFonts w:ascii="微软雅黑" w:eastAsia="微软雅黑" w:hAnsi="微软雅黑" w:hint="eastAsia"/>
          <w:b/>
          <w:bCs/>
        </w:rPr>
        <w:t>疫情对企业开展人才工作带来严峻挑战</w:t>
      </w:r>
    </w:p>
    <w:p w:rsidR="00F836E4" w:rsidRDefault="00B228FD">
      <w:pPr>
        <w:spacing w:after="120" w:line="300" w:lineRule="auto"/>
        <w:ind w:firstLineChars="200" w:firstLine="480"/>
      </w:pPr>
      <w:r>
        <w:rPr>
          <w:rFonts w:hint="eastAsia"/>
        </w:rPr>
        <w:t>各地节后复工延迟的相关文件层出不穷，给企业正常展开人才工作带来了严峻挑战。调研结果显示，“集中性的培训工作不便组织”成为影响最为严重的选项，其得分为</w:t>
      </w:r>
      <w:r>
        <w:rPr>
          <w:rFonts w:hint="eastAsia"/>
        </w:rPr>
        <w:t>8.03</w:t>
      </w:r>
      <w:r>
        <w:rPr>
          <w:rFonts w:hint="eastAsia"/>
        </w:rPr>
        <w:t>分。作为技术密集型和智力密集型的企业，多数企业会定时展开集中性的培训用以提升人员的技术水平。但是在当前的严峻形势下，多数企业只能采取远程办公模式，集中性的培训难以有效开展。</w:t>
      </w:r>
    </w:p>
    <w:p w:rsidR="00F836E4" w:rsidRDefault="00B228FD">
      <w:pPr>
        <w:spacing w:after="120" w:line="300" w:lineRule="auto"/>
        <w:ind w:firstLineChars="200" w:firstLine="480"/>
      </w:pPr>
      <w:r>
        <w:rPr>
          <w:rFonts w:hint="eastAsia"/>
        </w:rPr>
        <w:t>其次，往年节后正是招聘用人的高峰期。但是受疫情影响，多数人出于保险的心态并不会在此时选择离职或者求职，导致人才流动陡然放缓，为企业正常开展招聘工作带来难题。</w:t>
      </w:r>
    </w:p>
    <w:p w:rsidR="00F836E4" w:rsidRDefault="00B228FD">
      <w:pPr>
        <w:spacing w:after="120" w:line="300" w:lineRule="auto"/>
        <w:ind w:firstLineChars="200" w:firstLine="480"/>
      </w:pPr>
      <w:r>
        <w:rPr>
          <w:rFonts w:hint="eastAsia"/>
        </w:rPr>
        <w:t>同时，也可以明显看到此次疫情对企业人才工作的影响是多方面的。比如，由于勘察设计行业的传统特性，技术人员习惯于面对面线下工作以便沟通协作。因此远程办公的协作管理成为企业面临的重要挑战；此外，还有在手合同量的不饱和，导致人才冗余；生产经营成本的提升，营业收入的减少导致很多企业无法承担原有的工资成本，以至于部分企业面临裁员或者破产的危险……。</w:t>
      </w:r>
    </w:p>
    <w:p w:rsidR="00F836E4" w:rsidRDefault="00B228FD">
      <w:pPr>
        <w:spacing w:after="120"/>
      </w:pPr>
      <w:r>
        <w:rPr>
          <w:noProof/>
        </w:rPr>
        <w:lastRenderedPageBreak/>
        <w:drawing>
          <wp:inline distT="0" distB="0" distL="0" distR="0">
            <wp:extent cx="5267325" cy="2124075"/>
            <wp:effectExtent l="0" t="0" r="0" b="0"/>
            <wp:docPr id="24" name="图表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hint="eastAsia"/>
        </w:rPr>
        <w:t>图</w:t>
      </w:r>
      <w:r>
        <w:rPr>
          <w:rFonts w:ascii="华文楷体" w:eastAsia="华文楷体" w:hAnsi="华文楷体"/>
        </w:rPr>
        <w:fldChar w:fldCharType="begin"/>
      </w:r>
      <w:r>
        <w:rPr>
          <w:rFonts w:ascii="华文楷体" w:eastAsia="华文楷体" w:hAnsi="华文楷体"/>
        </w:rPr>
        <w:instrText xml:space="preserve"> </w:instrText>
      </w:r>
      <w:r>
        <w:rPr>
          <w:rFonts w:ascii="华文楷体" w:eastAsia="华文楷体" w:hAnsi="华文楷体" w:hint="eastAsia"/>
        </w:rPr>
        <w:instrText>SEQ</w:instrText>
      </w:r>
      <w:r>
        <w:rPr>
          <w:rFonts w:ascii="华文楷体" w:eastAsia="华文楷体" w:hAnsi="华文楷体" w:hint="eastAsia"/>
        </w:rPr>
        <w:instrText xml:space="preserve"> </w:instrText>
      </w:r>
      <w:r>
        <w:rPr>
          <w:rFonts w:ascii="华文楷体" w:eastAsia="华文楷体" w:hAnsi="华文楷体" w:hint="eastAsia"/>
        </w:rPr>
        <w:instrText>图</w:instrText>
      </w:r>
      <w:r>
        <w:rPr>
          <w:rFonts w:ascii="华文楷体" w:eastAsia="华文楷体" w:hAnsi="华文楷体" w:hint="eastAsia"/>
        </w:rPr>
        <w:instrText>1- \* ARABIC</w:instrText>
      </w:r>
      <w:r>
        <w:rPr>
          <w:rFonts w:ascii="华文楷体" w:eastAsia="华文楷体" w:hAnsi="华文楷体"/>
        </w:rPr>
        <w:instrText xml:space="preserve"> </w:instrText>
      </w:r>
      <w:r>
        <w:rPr>
          <w:rFonts w:ascii="华文楷体" w:eastAsia="华文楷体" w:hAnsi="华文楷体"/>
        </w:rPr>
        <w:fldChar w:fldCharType="separate"/>
      </w:r>
      <w:r>
        <w:rPr>
          <w:rFonts w:ascii="华文楷体" w:eastAsia="华文楷体" w:hAnsi="华文楷体"/>
        </w:rPr>
        <w:t>13</w:t>
      </w:r>
      <w:r>
        <w:rPr>
          <w:rFonts w:ascii="华文楷体" w:eastAsia="华文楷体" w:hAnsi="华文楷体"/>
        </w:rPr>
        <w:fldChar w:fldCharType="end"/>
      </w:r>
      <w:r>
        <w:rPr>
          <w:rFonts w:ascii="华文楷体" w:eastAsia="华文楷体" w:hAnsi="华文楷体" w:hint="eastAsia"/>
        </w:rPr>
        <w:t>：疫情对设计院开展人才工作带来的挑战</w:t>
      </w:r>
    </w:p>
    <w:p w:rsidR="00F836E4" w:rsidRDefault="00F836E4">
      <w:pPr>
        <w:pStyle w:val="a3"/>
        <w:spacing w:afterLines="50" w:after="156"/>
        <w:jc w:val="center"/>
        <w:rPr>
          <w:rFonts w:ascii="华文楷体" w:eastAsia="华文楷体" w:hAnsi="华文楷体"/>
        </w:rPr>
      </w:pPr>
    </w:p>
    <w:p w:rsidR="00F836E4" w:rsidRDefault="00F836E4">
      <w:pPr>
        <w:sectPr w:rsidR="00F836E4">
          <w:pgSz w:w="11906" w:h="16838"/>
          <w:pgMar w:top="1440" w:right="1800" w:bottom="1440" w:left="1800" w:header="851" w:footer="992" w:gutter="0"/>
          <w:cols w:space="425"/>
          <w:docGrid w:type="lines" w:linePitch="312"/>
        </w:sectPr>
      </w:pP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lastRenderedPageBreak/>
        <w:t>【行业影响】</w:t>
      </w:r>
    </w:p>
    <w:p w:rsidR="00F836E4" w:rsidRDefault="00B228FD">
      <w:pPr>
        <w:spacing w:after="156"/>
        <w:rPr>
          <w:rFonts w:ascii="微软雅黑" w:eastAsia="微软雅黑" w:hAnsi="微软雅黑"/>
          <w:b/>
          <w:bCs/>
        </w:rPr>
      </w:pPr>
      <w:r>
        <w:rPr>
          <w:rFonts w:ascii="微软雅黑" w:eastAsia="微软雅黑" w:hAnsi="微软雅黑" w:hint="eastAsia"/>
          <w:b/>
          <w:bCs/>
        </w:rPr>
        <w:t>行业整体受到疫情影响严重</w:t>
      </w:r>
    </w:p>
    <w:p w:rsidR="00F836E4" w:rsidRDefault="00B228FD">
      <w:pPr>
        <w:spacing w:after="120" w:line="300" w:lineRule="auto"/>
        <w:ind w:firstLineChars="200" w:firstLine="480"/>
      </w:pPr>
      <w:r>
        <w:rPr>
          <w:rFonts w:hint="eastAsia"/>
        </w:rPr>
        <w:t>根据调研结果显示，企业普遍认为行业受到疫情影响明显，整体得分为</w:t>
      </w:r>
      <w:r>
        <w:rPr>
          <w:rFonts w:hint="eastAsia"/>
        </w:rPr>
        <w:t>7.61</w:t>
      </w:r>
      <w:r>
        <w:rPr>
          <w:rFonts w:hint="eastAsia"/>
        </w:rPr>
        <w:t>分。从细分行业来看，建筑设计类的业务影响最为严重，其得分为</w:t>
      </w:r>
      <w:r>
        <w:rPr>
          <w:rFonts w:hint="eastAsia"/>
        </w:rPr>
        <w:t>7.98</w:t>
      </w:r>
      <w:r>
        <w:rPr>
          <w:rFonts w:hint="eastAsia"/>
        </w:rPr>
        <w:t>分。其次是市政设计类企业，得分为</w:t>
      </w:r>
      <w:r>
        <w:rPr>
          <w:rFonts w:hint="eastAsia"/>
        </w:rPr>
        <w:t>7.75</w:t>
      </w:r>
      <w:r>
        <w:rPr>
          <w:rFonts w:hint="eastAsia"/>
        </w:rPr>
        <w:t>分。受疫情影响较高的几类行业之间得分差距较小，并未有某一行业所受影响显著较其他行业更为强烈的现象。</w:t>
      </w:r>
    </w:p>
    <w:p w:rsidR="00F836E4" w:rsidRDefault="00B228FD">
      <w:pPr>
        <w:spacing w:after="120"/>
        <w:jc w:val="center"/>
        <w:rPr>
          <w:b/>
          <w:bCs/>
        </w:rPr>
      </w:pPr>
      <w:r>
        <w:rPr>
          <w:noProof/>
        </w:rPr>
        <w:drawing>
          <wp:inline distT="0" distB="0" distL="0" distR="0">
            <wp:extent cx="4572000" cy="2743200"/>
            <wp:effectExtent l="0" t="0" r="0" b="0"/>
            <wp:docPr id="32" name="图表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14</w:t>
      </w:r>
      <w:r>
        <w:rPr>
          <w:rFonts w:ascii="华文楷体" w:eastAsia="华文楷体" w:hAnsi="华文楷体"/>
        </w:rPr>
        <w:fldChar w:fldCharType="end"/>
      </w:r>
      <w:r>
        <w:rPr>
          <w:rFonts w:ascii="华文楷体" w:eastAsia="华文楷体" w:hAnsi="华文楷体" w:hint="eastAsia"/>
        </w:rPr>
        <w:t>：不同细分行业认为疫情影响的评</w:t>
      </w:r>
      <w:r>
        <w:rPr>
          <w:rFonts w:ascii="华文楷体" w:eastAsia="华文楷体" w:hAnsi="华文楷体" w:hint="eastAsia"/>
        </w:rPr>
        <w:t>价</w:t>
      </w:r>
    </w:p>
    <w:p w:rsidR="00F836E4" w:rsidRDefault="00B228FD">
      <w:pPr>
        <w:spacing w:after="120"/>
        <w:rPr>
          <w:rFonts w:ascii="黑体" w:eastAsia="黑体" w:hAnsi="黑体"/>
          <w:sz w:val="20"/>
          <w:szCs w:val="18"/>
        </w:rPr>
      </w:pPr>
      <w:r>
        <w:rPr>
          <w:rFonts w:ascii="黑体" w:eastAsia="黑体" w:hAnsi="黑体" w:hint="eastAsia"/>
          <w:sz w:val="20"/>
          <w:szCs w:val="18"/>
        </w:rPr>
        <w:t>注：采用</w:t>
      </w:r>
      <w:r>
        <w:rPr>
          <w:rFonts w:ascii="黑体" w:eastAsia="黑体" w:hAnsi="黑体" w:hint="eastAsia"/>
          <w:sz w:val="20"/>
          <w:szCs w:val="18"/>
        </w:rPr>
        <w:t>10</w:t>
      </w:r>
      <w:r>
        <w:rPr>
          <w:rFonts w:ascii="黑体" w:eastAsia="黑体" w:hAnsi="黑体" w:hint="eastAsia"/>
          <w:sz w:val="20"/>
          <w:szCs w:val="18"/>
        </w:rPr>
        <w:t>分值，分值越大，影响越大（</w:t>
      </w:r>
      <w:r>
        <w:rPr>
          <w:rFonts w:ascii="黑体" w:eastAsia="黑体" w:hAnsi="黑体" w:hint="eastAsia"/>
          <w:sz w:val="20"/>
          <w:szCs w:val="18"/>
        </w:rPr>
        <w:t>1</w:t>
      </w:r>
      <w:r>
        <w:rPr>
          <w:rFonts w:ascii="黑体" w:eastAsia="黑体" w:hAnsi="黑体" w:hint="eastAsia"/>
          <w:sz w:val="20"/>
          <w:szCs w:val="18"/>
        </w:rPr>
        <w:t>≤影响较小＜</w:t>
      </w:r>
      <w:r>
        <w:rPr>
          <w:rFonts w:ascii="黑体" w:eastAsia="黑体" w:hAnsi="黑体" w:hint="eastAsia"/>
          <w:sz w:val="20"/>
          <w:szCs w:val="18"/>
        </w:rPr>
        <w:t>3</w:t>
      </w:r>
      <w:r>
        <w:rPr>
          <w:rFonts w:ascii="黑体" w:eastAsia="黑体" w:hAnsi="黑体" w:hint="eastAsia"/>
          <w:sz w:val="20"/>
          <w:szCs w:val="18"/>
        </w:rPr>
        <w:t>；</w:t>
      </w:r>
      <w:r>
        <w:rPr>
          <w:rFonts w:ascii="黑体" w:eastAsia="黑体" w:hAnsi="黑体" w:hint="eastAsia"/>
          <w:sz w:val="20"/>
          <w:szCs w:val="18"/>
        </w:rPr>
        <w:t>3</w:t>
      </w:r>
      <w:r>
        <w:rPr>
          <w:rFonts w:ascii="黑体" w:eastAsia="黑体" w:hAnsi="黑体" w:hint="eastAsia"/>
          <w:sz w:val="20"/>
          <w:szCs w:val="18"/>
        </w:rPr>
        <w:t>≤影响一般＜</w:t>
      </w:r>
      <w:r>
        <w:rPr>
          <w:rFonts w:ascii="黑体" w:eastAsia="黑体" w:hAnsi="黑体" w:hint="eastAsia"/>
          <w:sz w:val="20"/>
          <w:szCs w:val="18"/>
        </w:rPr>
        <w:t>6</w:t>
      </w:r>
      <w:r>
        <w:rPr>
          <w:rFonts w:ascii="黑体" w:eastAsia="黑体" w:hAnsi="黑体" w:hint="eastAsia"/>
          <w:sz w:val="20"/>
          <w:szCs w:val="18"/>
        </w:rPr>
        <w:t>；</w:t>
      </w:r>
      <w:r>
        <w:rPr>
          <w:rFonts w:ascii="黑体" w:eastAsia="黑体" w:hAnsi="黑体" w:hint="eastAsia"/>
          <w:sz w:val="20"/>
          <w:szCs w:val="18"/>
        </w:rPr>
        <w:t>6</w:t>
      </w:r>
      <w:r>
        <w:rPr>
          <w:rFonts w:ascii="黑体" w:eastAsia="黑体" w:hAnsi="黑体" w:hint="eastAsia"/>
          <w:sz w:val="20"/>
          <w:szCs w:val="18"/>
        </w:rPr>
        <w:t>≤影响明显＜</w:t>
      </w:r>
      <w:r>
        <w:rPr>
          <w:rFonts w:ascii="黑体" w:eastAsia="黑体" w:hAnsi="黑体" w:hint="eastAsia"/>
          <w:sz w:val="20"/>
          <w:szCs w:val="18"/>
        </w:rPr>
        <w:t>8</w:t>
      </w:r>
      <w:r>
        <w:rPr>
          <w:rFonts w:ascii="黑体" w:eastAsia="黑体" w:hAnsi="黑体" w:hint="eastAsia"/>
          <w:sz w:val="20"/>
          <w:szCs w:val="18"/>
        </w:rPr>
        <w:t>；</w:t>
      </w:r>
      <w:r>
        <w:rPr>
          <w:rFonts w:ascii="黑体" w:eastAsia="黑体" w:hAnsi="黑体" w:hint="eastAsia"/>
          <w:sz w:val="20"/>
          <w:szCs w:val="18"/>
        </w:rPr>
        <w:t>8</w:t>
      </w:r>
      <w:r>
        <w:rPr>
          <w:rFonts w:ascii="黑体" w:eastAsia="黑体" w:hAnsi="黑体" w:hint="eastAsia"/>
          <w:sz w:val="20"/>
          <w:szCs w:val="18"/>
        </w:rPr>
        <w:t>≤影响严重＜</w:t>
      </w:r>
      <w:r>
        <w:rPr>
          <w:rFonts w:ascii="黑体" w:eastAsia="黑体" w:hAnsi="黑体" w:hint="eastAsia"/>
          <w:sz w:val="20"/>
          <w:szCs w:val="18"/>
        </w:rPr>
        <w:t>10</w:t>
      </w:r>
      <w:r>
        <w:rPr>
          <w:rFonts w:ascii="黑体" w:eastAsia="黑体" w:hAnsi="黑体" w:hint="eastAsia"/>
          <w:sz w:val="20"/>
          <w:szCs w:val="18"/>
        </w:rPr>
        <w:t>。）</w:t>
      </w:r>
    </w:p>
    <w:p w:rsidR="00F836E4" w:rsidRDefault="00B228FD">
      <w:pPr>
        <w:spacing w:after="156"/>
        <w:rPr>
          <w:rFonts w:ascii="微软雅黑" w:eastAsia="微软雅黑" w:hAnsi="微软雅黑"/>
          <w:b/>
          <w:bCs/>
        </w:rPr>
      </w:pPr>
      <w:r>
        <w:rPr>
          <w:rFonts w:ascii="微软雅黑" w:eastAsia="微软雅黑" w:hAnsi="微软雅黑" w:hint="eastAsia"/>
          <w:b/>
          <w:bCs/>
        </w:rPr>
        <w:t>疫情导致市场竞争加剧、市场需求萎缩</w:t>
      </w:r>
    </w:p>
    <w:p w:rsidR="00F836E4" w:rsidRDefault="00B228FD">
      <w:pPr>
        <w:spacing w:after="120" w:line="300" w:lineRule="auto"/>
        <w:ind w:firstLineChars="200" w:firstLine="480"/>
      </w:pPr>
      <w:r>
        <w:rPr>
          <w:rFonts w:hint="eastAsia"/>
        </w:rPr>
        <w:t>调研结果显示，此次疫情对云南省工程勘察设计行业诸多方面都造成了不利影响。疫情的全面爆发导致房地产、基础设施建设等投资放缓，市场萎缩。作为为房地产、基础设施建设等领域提供专业技术的服务行业，勘察设计行业整体受到不利影响较大。因此云南省的勘察设计市场必然受到影响，市场需求放缓，从而进一步导致更多的企业加入到原本已经十分激烈的市场中，市场竞争进一步加剧。</w:t>
      </w:r>
    </w:p>
    <w:p w:rsidR="00F836E4" w:rsidRDefault="00B228FD">
      <w:pPr>
        <w:spacing w:after="120" w:line="300" w:lineRule="auto"/>
        <w:ind w:firstLineChars="200" w:firstLine="480"/>
      </w:pPr>
      <w:r>
        <w:rPr>
          <w:rFonts w:hint="eastAsia"/>
        </w:rPr>
        <w:t>同时，也可以看到此次疫情对于行业而言，不仅仅是“危”，同样是“机”。加速行业服务升级，推进行业市场监管优化等促进行业迭代更新的选项成为重要举措。因此在此背景下，云南省工程勘察设计行业的服务能力和技术水平必然会乘风破浪，有所突破。</w:t>
      </w:r>
    </w:p>
    <w:p w:rsidR="00F836E4" w:rsidRDefault="00B228FD">
      <w:pPr>
        <w:spacing w:after="120"/>
        <w:jc w:val="center"/>
        <w:rPr>
          <w:rFonts w:ascii="黑体" w:eastAsia="黑体" w:hAnsi="黑体"/>
          <w:sz w:val="20"/>
          <w:szCs w:val="18"/>
        </w:rPr>
      </w:pPr>
      <w:r>
        <w:rPr>
          <w:noProof/>
        </w:rPr>
        <w:lastRenderedPageBreak/>
        <w:drawing>
          <wp:inline distT="0" distB="0" distL="0" distR="0">
            <wp:extent cx="4798695" cy="1801495"/>
            <wp:effectExtent l="0" t="0" r="1905" b="1905"/>
            <wp:docPr id="33" name="图表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15</w:t>
      </w:r>
      <w:r>
        <w:rPr>
          <w:rFonts w:ascii="华文楷体" w:eastAsia="华文楷体" w:hAnsi="华文楷体"/>
        </w:rPr>
        <w:fldChar w:fldCharType="end"/>
      </w:r>
      <w:r>
        <w:rPr>
          <w:rFonts w:ascii="华文楷体" w:eastAsia="华文楷体" w:hAnsi="华文楷体" w:hint="eastAsia"/>
        </w:rPr>
        <w:t>：</w:t>
      </w:r>
      <w:r>
        <w:rPr>
          <w:rFonts w:ascii="华文楷体" w:eastAsia="华文楷体" w:hAnsi="华文楷体"/>
        </w:rPr>
        <w:t>本次疫情对行业的影响主要聚焦在哪些方面</w:t>
      </w:r>
    </w:p>
    <w:p w:rsidR="00F836E4" w:rsidRDefault="00B228FD">
      <w:pPr>
        <w:spacing w:after="120"/>
        <w:rPr>
          <w:rFonts w:ascii="黑体" w:eastAsia="黑体" w:hAnsi="黑体"/>
          <w:sz w:val="20"/>
          <w:szCs w:val="18"/>
        </w:rPr>
      </w:pPr>
      <w:r>
        <w:rPr>
          <w:rFonts w:ascii="黑体" w:eastAsia="黑体" w:hAnsi="黑体" w:hint="eastAsia"/>
          <w:sz w:val="20"/>
          <w:szCs w:val="18"/>
        </w:rPr>
        <w:t>注：采用</w:t>
      </w:r>
      <w:r>
        <w:rPr>
          <w:rFonts w:ascii="黑体" w:eastAsia="黑体" w:hAnsi="黑体" w:hint="eastAsia"/>
          <w:sz w:val="20"/>
          <w:szCs w:val="18"/>
        </w:rPr>
        <w:t>10</w:t>
      </w:r>
      <w:r>
        <w:rPr>
          <w:rFonts w:ascii="黑体" w:eastAsia="黑体" w:hAnsi="黑体" w:hint="eastAsia"/>
          <w:sz w:val="20"/>
          <w:szCs w:val="18"/>
        </w:rPr>
        <w:t>分值，分值越大，影响越大（</w:t>
      </w:r>
      <w:r>
        <w:rPr>
          <w:rFonts w:ascii="黑体" w:eastAsia="黑体" w:hAnsi="黑体" w:hint="eastAsia"/>
          <w:sz w:val="20"/>
          <w:szCs w:val="18"/>
        </w:rPr>
        <w:t>1</w:t>
      </w:r>
      <w:r>
        <w:rPr>
          <w:rFonts w:ascii="黑体" w:eastAsia="黑体" w:hAnsi="黑体" w:hint="eastAsia"/>
          <w:sz w:val="20"/>
          <w:szCs w:val="18"/>
        </w:rPr>
        <w:t>≤影响较小＜</w:t>
      </w:r>
      <w:r>
        <w:rPr>
          <w:rFonts w:ascii="黑体" w:eastAsia="黑体" w:hAnsi="黑体" w:hint="eastAsia"/>
          <w:sz w:val="20"/>
          <w:szCs w:val="18"/>
        </w:rPr>
        <w:t>3</w:t>
      </w:r>
      <w:r>
        <w:rPr>
          <w:rFonts w:ascii="黑体" w:eastAsia="黑体" w:hAnsi="黑体" w:hint="eastAsia"/>
          <w:sz w:val="20"/>
          <w:szCs w:val="18"/>
        </w:rPr>
        <w:t>；</w:t>
      </w:r>
      <w:r>
        <w:rPr>
          <w:rFonts w:ascii="黑体" w:eastAsia="黑体" w:hAnsi="黑体" w:hint="eastAsia"/>
          <w:sz w:val="20"/>
          <w:szCs w:val="18"/>
        </w:rPr>
        <w:t>3</w:t>
      </w:r>
      <w:r>
        <w:rPr>
          <w:rFonts w:ascii="黑体" w:eastAsia="黑体" w:hAnsi="黑体" w:hint="eastAsia"/>
          <w:sz w:val="20"/>
          <w:szCs w:val="18"/>
        </w:rPr>
        <w:t>≤影响一般＜</w:t>
      </w:r>
      <w:r>
        <w:rPr>
          <w:rFonts w:ascii="黑体" w:eastAsia="黑体" w:hAnsi="黑体" w:hint="eastAsia"/>
          <w:sz w:val="20"/>
          <w:szCs w:val="18"/>
        </w:rPr>
        <w:t>6</w:t>
      </w:r>
      <w:r>
        <w:rPr>
          <w:rFonts w:ascii="黑体" w:eastAsia="黑体" w:hAnsi="黑体" w:hint="eastAsia"/>
          <w:sz w:val="20"/>
          <w:szCs w:val="18"/>
        </w:rPr>
        <w:t>；</w:t>
      </w:r>
      <w:r>
        <w:rPr>
          <w:rFonts w:ascii="黑体" w:eastAsia="黑体" w:hAnsi="黑体" w:hint="eastAsia"/>
          <w:sz w:val="20"/>
          <w:szCs w:val="18"/>
        </w:rPr>
        <w:t>6</w:t>
      </w:r>
      <w:r>
        <w:rPr>
          <w:rFonts w:ascii="黑体" w:eastAsia="黑体" w:hAnsi="黑体" w:hint="eastAsia"/>
          <w:sz w:val="20"/>
          <w:szCs w:val="18"/>
        </w:rPr>
        <w:t>≤影响明显＜</w:t>
      </w:r>
      <w:r>
        <w:rPr>
          <w:rFonts w:ascii="黑体" w:eastAsia="黑体" w:hAnsi="黑体" w:hint="eastAsia"/>
          <w:sz w:val="20"/>
          <w:szCs w:val="18"/>
        </w:rPr>
        <w:t>8</w:t>
      </w:r>
      <w:r>
        <w:rPr>
          <w:rFonts w:ascii="黑体" w:eastAsia="黑体" w:hAnsi="黑体" w:hint="eastAsia"/>
          <w:sz w:val="20"/>
          <w:szCs w:val="18"/>
        </w:rPr>
        <w:t>；</w:t>
      </w:r>
      <w:r>
        <w:rPr>
          <w:rFonts w:ascii="黑体" w:eastAsia="黑体" w:hAnsi="黑体" w:hint="eastAsia"/>
          <w:sz w:val="20"/>
          <w:szCs w:val="18"/>
        </w:rPr>
        <w:t>8</w:t>
      </w:r>
      <w:r>
        <w:rPr>
          <w:rFonts w:ascii="黑体" w:eastAsia="黑体" w:hAnsi="黑体" w:hint="eastAsia"/>
          <w:sz w:val="20"/>
          <w:szCs w:val="18"/>
        </w:rPr>
        <w:t>≤影响严重＜</w:t>
      </w:r>
      <w:r>
        <w:rPr>
          <w:rFonts w:ascii="黑体" w:eastAsia="黑体" w:hAnsi="黑体" w:hint="eastAsia"/>
          <w:sz w:val="20"/>
          <w:szCs w:val="18"/>
        </w:rPr>
        <w:t>10</w:t>
      </w:r>
      <w:r>
        <w:rPr>
          <w:rFonts w:ascii="黑体" w:eastAsia="黑体" w:hAnsi="黑体" w:hint="eastAsia"/>
          <w:sz w:val="20"/>
          <w:szCs w:val="18"/>
        </w:rPr>
        <w:t>。）</w:t>
      </w:r>
    </w:p>
    <w:p w:rsidR="00F836E4" w:rsidRDefault="00B228FD">
      <w:pPr>
        <w:spacing w:after="156"/>
        <w:rPr>
          <w:rFonts w:ascii="微软雅黑" w:eastAsia="微软雅黑" w:hAnsi="微软雅黑"/>
          <w:b/>
          <w:bCs/>
        </w:rPr>
      </w:pPr>
      <w:r>
        <w:rPr>
          <w:rFonts w:ascii="微软雅黑" w:eastAsia="微软雅黑" w:hAnsi="微软雅黑" w:hint="eastAsia"/>
          <w:b/>
          <w:bCs/>
        </w:rPr>
        <w:t>疫情影响下工期延误对工程总承包、设计施工一体化等业务影响较大</w:t>
      </w:r>
    </w:p>
    <w:p w:rsidR="00F836E4" w:rsidRDefault="00B228FD">
      <w:pPr>
        <w:spacing w:after="120" w:line="300" w:lineRule="auto"/>
        <w:ind w:firstLineChars="200" w:firstLine="480"/>
      </w:pPr>
      <w:r>
        <w:rPr>
          <w:rFonts w:hint="eastAsia"/>
        </w:rPr>
        <w:t>调研结果</w:t>
      </w:r>
      <w:r>
        <w:rPr>
          <w:rFonts w:hint="eastAsia"/>
        </w:rPr>
        <w:t>显示，工程总承包业务受疫情影响最为明显，其得分为</w:t>
      </w:r>
      <w:r>
        <w:rPr>
          <w:rFonts w:hint="eastAsia"/>
        </w:rPr>
        <w:t>7.86</w:t>
      </w:r>
      <w:r>
        <w:rPr>
          <w:rFonts w:hint="eastAsia"/>
        </w:rPr>
        <w:t>分。在疫情防控的特殊阶段，全国多个地方政府已明确发文要求迟延复工。外加疫情爆发造成的用工紧缺、原材料上涨等问题，此次疫情将不可避免地对正在开展中的项目造成工期延误等影响。同理，与工程总承包类似的设计施工一体化业务也受到明显影响。</w:t>
      </w:r>
    </w:p>
    <w:p w:rsidR="00F836E4" w:rsidRDefault="00B228FD">
      <w:pPr>
        <w:spacing w:after="120"/>
        <w:jc w:val="center"/>
      </w:pPr>
      <w:r>
        <w:rPr>
          <w:noProof/>
        </w:rPr>
        <w:drawing>
          <wp:inline distT="0" distB="0" distL="0" distR="0">
            <wp:extent cx="4812030" cy="1988820"/>
            <wp:effectExtent l="0" t="0" r="1270" b="5080"/>
            <wp:docPr id="34" name="图表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hint="eastAsia"/>
        </w:rPr>
        <w:t>图</w:t>
      </w:r>
      <w:r>
        <w:rPr>
          <w:rFonts w:ascii="华文楷体" w:eastAsia="华文楷体" w:hAnsi="华文楷体"/>
        </w:rPr>
        <w:fldChar w:fldCharType="begin"/>
      </w:r>
      <w:r>
        <w:rPr>
          <w:rFonts w:ascii="华文楷体" w:eastAsia="华文楷体" w:hAnsi="华文楷体"/>
        </w:rPr>
        <w:instrText xml:space="preserve"> </w:instrText>
      </w:r>
      <w:r>
        <w:rPr>
          <w:rFonts w:ascii="华文楷体" w:eastAsia="华文楷体" w:hAnsi="华文楷体" w:hint="eastAsia"/>
        </w:rPr>
        <w:instrText xml:space="preserve">SEQ </w:instrText>
      </w:r>
      <w:r>
        <w:rPr>
          <w:rFonts w:ascii="华文楷体" w:eastAsia="华文楷体" w:hAnsi="华文楷体" w:hint="eastAsia"/>
        </w:rPr>
        <w:instrText>图</w:instrText>
      </w:r>
      <w:r>
        <w:rPr>
          <w:rFonts w:ascii="华文楷体" w:eastAsia="华文楷体" w:hAnsi="华文楷体" w:hint="eastAsia"/>
        </w:rPr>
        <w:instrText>1- \* ARABIC</w:instrText>
      </w:r>
      <w:r>
        <w:rPr>
          <w:rFonts w:ascii="华文楷体" w:eastAsia="华文楷体" w:hAnsi="华文楷体"/>
        </w:rPr>
        <w:instrText xml:space="preserve"> </w:instrText>
      </w:r>
      <w:r>
        <w:rPr>
          <w:rFonts w:ascii="华文楷体" w:eastAsia="华文楷体" w:hAnsi="华文楷体"/>
        </w:rPr>
        <w:fldChar w:fldCharType="separate"/>
      </w:r>
      <w:r>
        <w:rPr>
          <w:rFonts w:ascii="华文楷体" w:eastAsia="华文楷体" w:hAnsi="华文楷体"/>
        </w:rPr>
        <w:t>16</w:t>
      </w:r>
      <w:r>
        <w:rPr>
          <w:rFonts w:ascii="华文楷体" w:eastAsia="华文楷体" w:hAnsi="华文楷体"/>
        </w:rPr>
        <w:fldChar w:fldCharType="end"/>
      </w:r>
      <w:r>
        <w:rPr>
          <w:rFonts w:ascii="华文楷体" w:eastAsia="华文楷体" w:hAnsi="华文楷体" w:hint="eastAsia"/>
        </w:rPr>
        <w:t>：本次疫情对行业业务的影响</w:t>
      </w:r>
    </w:p>
    <w:p w:rsidR="00F836E4" w:rsidRDefault="00B228FD">
      <w:pPr>
        <w:spacing w:after="120"/>
        <w:rPr>
          <w:rFonts w:ascii="黑体" w:eastAsia="黑体" w:hAnsi="黑体"/>
          <w:sz w:val="20"/>
          <w:szCs w:val="18"/>
        </w:rPr>
      </w:pPr>
      <w:r>
        <w:rPr>
          <w:rFonts w:ascii="黑体" w:eastAsia="黑体" w:hAnsi="黑体" w:hint="eastAsia"/>
          <w:sz w:val="20"/>
          <w:szCs w:val="18"/>
        </w:rPr>
        <w:t>注：采用</w:t>
      </w:r>
      <w:r>
        <w:rPr>
          <w:rFonts w:ascii="黑体" w:eastAsia="黑体" w:hAnsi="黑体" w:hint="eastAsia"/>
          <w:sz w:val="20"/>
          <w:szCs w:val="18"/>
        </w:rPr>
        <w:t>10</w:t>
      </w:r>
      <w:r>
        <w:rPr>
          <w:rFonts w:ascii="黑体" w:eastAsia="黑体" w:hAnsi="黑体" w:hint="eastAsia"/>
          <w:sz w:val="20"/>
          <w:szCs w:val="18"/>
        </w:rPr>
        <w:t>分值，分值越大，影响越大（</w:t>
      </w:r>
      <w:r>
        <w:rPr>
          <w:rFonts w:ascii="黑体" w:eastAsia="黑体" w:hAnsi="黑体" w:hint="eastAsia"/>
          <w:sz w:val="20"/>
          <w:szCs w:val="18"/>
        </w:rPr>
        <w:t>1</w:t>
      </w:r>
      <w:r>
        <w:rPr>
          <w:rFonts w:ascii="黑体" w:eastAsia="黑体" w:hAnsi="黑体" w:hint="eastAsia"/>
          <w:sz w:val="20"/>
          <w:szCs w:val="18"/>
        </w:rPr>
        <w:t>≤影响较小＜</w:t>
      </w:r>
      <w:r>
        <w:rPr>
          <w:rFonts w:ascii="黑体" w:eastAsia="黑体" w:hAnsi="黑体" w:hint="eastAsia"/>
          <w:sz w:val="20"/>
          <w:szCs w:val="18"/>
        </w:rPr>
        <w:t>3</w:t>
      </w:r>
      <w:r>
        <w:rPr>
          <w:rFonts w:ascii="黑体" w:eastAsia="黑体" w:hAnsi="黑体" w:hint="eastAsia"/>
          <w:sz w:val="20"/>
          <w:szCs w:val="18"/>
        </w:rPr>
        <w:t>；</w:t>
      </w:r>
      <w:r>
        <w:rPr>
          <w:rFonts w:ascii="黑体" w:eastAsia="黑体" w:hAnsi="黑体" w:hint="eastAsia"/>
          <w:sz w:val="20"/>
          <w:szCs w:val="18"/>
        </w:rPr>
        <w:t>3</w:t>
      </w:r>
      <w:r>
        <w:rPr>
          <w:rFonts w:ascii="黑体" w:eastAsia="黑体" w:hAnsi="黑体" w:hint="eastAsia"/>
          <w:sz w:val="20"/>
          <w:szCs w:val="18"/>
        </w:rPr>
        <w:t>≤影响一般＜</w:t>
      </w:r>
      <w:r>
        <w:rPr>
          <w:rFonts w:ascii="黑体" w:eastAsia="黑体" w:hAnsi="黑体" w:hint="eastAsia"/>
          <w:sz w:val="20"/>
          <w:szCs w:val="18"/>
        </w:rPr>
        <w:t>6</w:t>
      </w:r>
      <w:r>
        <w:rPr>
          <w:rFonts w:ascii="黑体" w:eastAsia="黑体" w:hAnsi="黑体" w:hint="eastAsia"/>
          <w:sz w:val="20"/>
          <w:szCs w:val="18"/>
        </w:rPr>
        <w:t>；</w:t>
      </w:r>
      <w:r>
        <w:rPr>
          <w:rFonts w:ascii="黑体" w:eastAsia="黑体" w:hAnsi="黑体" w:hint="eastAsia"/>
          <w:sz w:val="20"/>
          <w:szCs w:val="18"/>
        </w:rPr>
        <w:t>6</w:t>
      </w:r>
      <w:r>
        <w:rPr>
          <w:rFonts w:ascii="黑体" w:eastAsia="黑体" w:hAnsi="黑体" w:hint="eastAsia"/>
          <w:sz w:val="20"/>
          <w:szCs w:val="18"/>
        </w:rPr>
        <w:t>≤影响明显＜</w:t>
      </w:r>
      <w:r>
        <w:rPr>
          <w:rFonts w:ascii="黑体" w:eastAsia="黑体" w:hAnsi="黑体" w:hint="eastAsia"/>
          <w:sz w:val="20"/>
          <w:szCs w:val="18"/>
        </w:rPr>
        <w:t>8</w:t>
      </w:r>
      <w:r>
        <w:rPr>
          <w:rFonts w:ascii="黑体" w:eastAsia="黑体" w:hAnsi="黑体" w:hint="eastAsia"/>
          <w:sz w:val="20"/>
          <w:szCs w:val="18"/>
        </w:rPr>
        <w:t>；</w:t>
      </w:r>
      <w:r>
        <w:rPr>
          <w:rFonts w:ascii="黑体" w:eastAsia="黑体" w:hAnsi="黑体" w:hint="eastAsia"/>
          <w:sz w:val="20"/>
          <w:szCs w:val="18"/>
        </w:rPr>
        <w:t>8</w:t>
      </w:r>
      <w:r>
        <w:rPr>
          <w:rFonts w:ascii="黑体" w:eastAsia="黑体" w:hAnsi="黑体" w:hint="eastAsia"/>
          <w:sz w:val="20"/>
          <w:szCs w:val="18"/>
        </w:rPr>
        <w:t>≤影响严重＜</w:t>
      </w:r>
      <w:r>
        <w:rPr>
          <w:rFonts w:ascii="黑体" w:eastAsia="黑体" w:hAnsi="黑体" w:hint="eastAsia"/>
          <w:sz w:val="20"/>
          <w:szCs w:val="18"/>
        </w:rPr>
        <w:t>10</w:t>
      </w:r>
      <w:r>
        <w:rPr>
          <w:rFonts w:ascii="黑体" w:eastAsia="黑体" w:hAnsi="黑体" w:hint="eastAsia"/>
          <w:sz w:val="20"/>
          <w:szCs w:val="18"/>
        </w:rPr>
        <w:t>。）</w:t>
      </w:r>
    </w:p>
    <w:p w:rsidR="00F836E4" w:rsidRDefault="00F836E4">
      <w:pPr>
        <w:spacing w:after="120"/>
        <w:jc w:val="center"/>
        <w:sectPr w:rsidR="00F836E4">
          <w:pgSz w:w="11906" w:h="16838"/>
          <w:pgMar w:top="1440" w:right="1800" w:bottom="1440" w:left="1800" w:header="851" w:footer="992" w:gutter="0"/>
          <w:cols w:space="425"/>
          <w:docGrid w:type="lines" w:linePitch="312"/>
        </w:sectPr>
      </w:pP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lastRenderedPageBreak/>
        <w:t>【企业举措】</w:t>
      </w:r>
    </w:p>
    <w:p w:rsidR="00F836E4" w:rsidRDefault="00B228FD">
      <w:pPr>
        <w:spacing w:after="156"/>
        <w:rPr>
          <w:rFonts w:ascii="微软雅黑" w:eastAsia="微软雅黑" w:hAnsi="微软雅黑"/>
          <w:b/>
          <w:bCs/>
        </w:rPr>
      </w:pPr>
      <w:r>
        <w:rPr>
          <w:rFonts w:ascii="微软雅黑" w:eastAsia="微软雅黑" w:hAnsi="微软雅黑" w:hint="eastAsia"/>
          <w:b/>
          <w:bCs/>
        </w:rPr>
        <w:t>远程办公成为此次疫情的必然选择</w:t>
      </w:r>
    </w:p>
    <w:p w:rsidR="00F836E4" w:rsidRDefault="00B228FD">
      <w:pPr>
        <w:spacing w:after="120" w:line="300" w:lineRule="auto"/>
        <w:ind w:firstLineChars="200" w:firstLine="480"/>
        <w:jc w:val="both"/>
      </w:pPr>
      <w:r>
        <w:rPr>
          <w:rFonts w:hint="eastAsia"/>
        </w:rPr>
        <w:t>受疫情影响，各地节后复工受到限制。越来越多的企业开始尝试使用钉钉、</w:t>
      </w:r>
      <w:proofErr w:type="gramStart"/>
      <w:r>
        <w:rPr>
          <w:rFonts w:hint="eastAsia"/>
        </w:rPr>
        <w:t>企业微信</w:t>
      </w:r>
      <w:r>
        <w:t>等</w:t>
      </w:r>
      <w:proofErr w:type="gramEnd"/>
      <w:r>
        <w:t>软件开展远程办公，支持企业快速恢复生产能力，减少疫情对于企业和社会经济的</w:t>
      </w:r>
      <w:r>
        <w:rPr>
          <w:rFonts w:hint="eastAsia"/>
        </w:rPr>
        <w:t>负面</w:t>
      </w:r>
      <w:r>
        <w:t>影响</w:t>
      </w:r>
      <w:r>
        <w:rPr>
          <w:rFonts w:hint="eastAsia"/>
        </w:rPr>
        <w:t>。调研结果显示，远程办公成为企业面对此次疫情采取的必然选择，其比例高达</w:t>
      </w:r>
      <w:r>
        <w:rPr>
          <w:rFonts w:hint="eastAsia"/>
        </w:rPr>
        <w:t>89.2%</w:t>
      </w:r>
      <w:r>
        <w:rPr>
          <w:rFonts w:hint="eastAsia"/>
        </w:rPr>
        <w:t>，</w:t>
      </w:r>
      <w:r>
        <w:rPr>
          <w:rFonts w:hint="eastAsia"/>
        </w:rPr>
        <w:t xml:space="preserve"> </w:t>
      </w:r>
      <w:r>
        <w:rPr>
          <w:rFonts w:hint="eastAsia"/>
        </w:rPr>
        <w:t>但是我们也看见有少数企业受次疫情影响，已经开始破产清算。</w:t>
      </w:r>
    </w:p>
    <w:p w:rsidR="00F836E4" w:rsidRDefault="00B228FD">
      <w:pPr>
        <w:spacing w:after="120" w:line="300" w:lineRule="auto"/>
        <w:ind w:firstLineChars="200" w:firstLine="480"/>
        <w:jc w:val="both"/>
      </w:pPr>
      <w:r>
        <w:rPr>
          <w:rFonts w:hint="eastAsia"/>
        </w:rPr>
        <w:t>任何外部环境的重大变化都是企业战略调整的时机，甚至会逼迫企业不得不做出战略调整。因此，在面对疫情的直接影响和应对不确定性风险时，积极调整经营方式、创新服务模式也成为</w:t>
      </w:r>
      <w:r>
        <w:rPr>
          <w:rFonts w:hint="eastAsia"/>
        </w:rPr>
        <w:t>诸多企业已经采取或者准备实施的重要举措。</w:t>
      </w:r>
    </w:p>
    <w:p w:rsidR="00F836E4" w:rsidRDefault="00B228FD">
      <w:pPr>
        <w:spacing w:after="120"/>
        <w:jc w:val="center"/>
        <w:rPr>
          <w:b/>
          <w:bCs/>
        </w:rPr>
      </w:pPr>
      <w:r>
        <w:rPr>
          <w:noProof/>
        </w:rPr>
        <w:drawing>
          <wp:inline distT="0" distB="0" distL="0" distR="0">
            <wp:extent cx="5138420" cy="2101850"/>
            <wp:effectExtent l="0" t="0" r="5080" b="0"/>
            <wp:docPr id="35" name="图表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17</w:t>
      </w:r>
      <w:r>
        <w:rPr>
          <w:rFonts w:ascii="华文楷体" w:eastAsia="华文楷体" w:hAnsi="华文楷体"/>
        </w:rPr>
        <w:fldChar w:fldCharType="end"/>
      </w:r>
      <w:r>
        <w:rPr>
          <w:rFonts w:ascii="华文楷体" w:eastAsia="华文楷体" w:hAnsi="华文楷体" w:hint="eastAsia"/>
        </w:rPr>
        <w:t>：</w:t>
      </w:r>
      <w:r>
        <w:rPr>
          <w:rFonts w:ascii="华文楷体" w:eastAsia="华文楷体" w:hAnsi="华文楷体"/>
        </w:rPr>
        <w:t>面对疫情影响，目前贵单位计划采取哪些措施</w:t>
      </w:r>
    </w:p>
    <w:p w:rsidR="00F836E4" w:rsidRDefault="00B228FD">
      <w:pPr>
        <w:spacing w:after="156"/>
        <w:rPr>
          <w:rFonts w:ascii="微软雅黑" w:eastAsia="微软雅黑" w:hAnsi="微软雅黑"/>
          <w:b/>
          <w:bCs/>
        </w:rPr>
      </w:pPr>
      <w:r>
        <w:rPr>
          <w:rFonts w:ascii="微软雅黑" w:eastAsia="微软雅黑" w:hAnsi="微软雅黑" w:hint="eastAsia"/>
          <w:b/>
          <w:bCs/>
        </w:rPr>
        <w:t>急需提升企业风险管理能力和信息化应用水平</w:t>
      </w:r>
    </w:p>
    <w:p w:rsidR="00F836E4" w:rsidRDefault="00B228FD">
      <w:pPr>
        <w:spacing w:after="120" w:line="300" w:lineRule="auto"/>
        <w:ind w:firstLineChars="200" w:firstLine="480"/>
      </w:pPr>
      <w:r>
        <w:rPr>
          <w:rFonts w:hint="eastAsia"/>
        </w:rPr>
        <w:t>调研结果显示，多数企业表示提升企业的风险管理能力有利于企业从容应对各种危机。突发事件考验的不仅仅是政府的治理能力，也考验着企业的核心竞争能力：企业的应变能力和经营厚度。</w:t>
      </w:r>
    </w:p>
    <w:p w:rsidR="00F836E4" w:rsidRDefault="00B228FD">
      <w:pPr>
        <w:spacing w:after="120" w:line="300" w:lineRule="auto"/>
        <w:ind w:firstLineChars="200" w:firstLine="480"/>
      </w:pPr>
      <w:r>
        <w:rPr>
          <w:rFonts w:hint="eastAsia"/>
        </w:rPr>
        <w:t>即便没有疫情，设计行业自身也面临着重大转变。设计企业加快信息化建设、大数据开发，可以减少标准设计工作量，特别是对于标准化设计探索基础数据模型，同时设计不同模块的基础模型库，能够为未来标准模块的自动设计创造条件，也为减少设计失误提供基本保障。此次疫情无疑加速了企业信息化建设的步伐，迫使企业不得不尽快提升信息化应用水平来减少远程设计所带来的误差。</w:t>
      </w:r>
    </w:p>
    <w:p w:rsidR="00F836E4" w:rsidRDefault="00B228FD">
      <w:pPr>
        <w:spacing w:after="120"/>
      </w:pPr>
      <w:r>
        <w:rPr>
          <w:noProof/>
        </w:rPr>
        <w:lastRenderedPageBreak/>
        <w:drawing>
          <wp:inline distT="0" distB="0" distL="0" distR="0">
            <wp:extent cx="5252720" cy="2108835"/>
            <wp:effectExtent l="0" t="0" r="5080" b="0"/>
            <wp:docPr id="56" name="图表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rPr>
        <w:t>图</w:t>
      </w:r>
      <w:r>
        <w:rPr>
          <w:rFonts w:ascii="华文楷体" w:eastAsia="华文楷体" w:hAnsi="华文楷体"/>
        </w:rPr>
        <w:fldChar w:fldCharType="begin"/>
      </w:r>
      <w:r>
        <w:rPr>
          <w:rFonts w:ascii="华文楷体" w:eastAsia="华文楷体" w:hAnsi="华文楷体"/>
        </w:rPr>
        <w:instrText xml:space="preserve"> SEQ </w:instrText>
      </w:r>
      <w:r>
        <w:rPr>
          <w:rFonts w:ascii="华文楷体" w:eastAsia="华文楷体" w:hAnsi="华文楷体"/>
        </w:rPr>
        <w:instrText>图</w:instrText>
      </w:r>
      <w:r>
        <w:rPr>
          <w:rFonts w:ascii="华文楷体" w:eastAsia="华文楷体" w:hAnsi="华文楷体"/>
        </w:rPr>
        <w:instrText xml:space="preserve">1- \* ARABIC </w:instrText>
      </w:r>
      <w:r>
        <w:rPr>
          <w:rFonts w:ascii="华文楷体" w:eastAsia="华文楷体" w:hAnsi="华文楷体"/>
        </w:rPr>
        <w:fldChar w:fldCharType="separate"/>
      </w:r>
      <w:r>
        <w:rPr>
          <w:rFonts w:ascii="华文楷体" w:eastAsia="华文楷体" w:hAnsi="华文楷体"/>
        </w:rPr>
        <w:t>18</w:t>
      </w:r>
      <w:r>
        <w:rPr>
          <w:rFonts w:ascii="华文楷体" w:eastAsia="华文楷体" w:hAnsi="华文楷体"/>
        </w:rPr>
        <w:fldChar w:fldCharType="end"/>
      </w:r>
      <w:r>
        <w:rPr>
          <w:rFonts w:ascii="华文楷体" w:eastAsia="华文楷体" w:hAnsi="华文楷体" w:hint="eastAsia"/>
        </w:rPr>
        <w:t>：企业需要提升的能力建设</w:t>
      </w:r>
    </w:p>
    <w:p w:rsidR="00F836E4" w:rsidRDefault="00B228FD">
      <w:pPr>
        <w:spacing w:after="156"/>
        <w:rPr>
          <w:rFonts w:ascii="微软雅黑" w:eastAsia="微软雅黑" w:hAnsi="微软雅黑"/>
          <w:b/>
          <w:bCs/>
        </w:rPr>
      </w:pPr>
      <w:r>
        <w:rPr>
          <w:rFonts w:ascii="微软雅黑" w:eastAsia="微软雅黑" w:hAnsi="微软雅黑" w:hint="eastAsia"/>
          <w:b/>
          <w:bCs/>
        </w:rPr>
        <w:t>疫情让企业开始重视人文关怀，加速远程服务能力</w:t>
      </w:r>
    </w:p>
    <w:p w:rsidR="00F836E4" w:rsidRDefault="00B228FD">
      <w:pPr>
        <w:spacing w:after="120" w:line="300" w:lineRule="auto"/>
        <w:ind w:firstLineChars="200" w:firstLine="480"/>
      </w:pPr>
      <w:r>
        <w:rPr>
          <w:rFonts w:hint="eastAsia"/>
        </w:rPr>
        <w:t>调研结果显示，“关注员工心理状态、增强人</w:t>
      </w:r>
      <w:r>
        <w:rPr>
          <w:rFonts w:hint="eastAsia"/>
        </w:rPr>
        <w:t>文关怀”是当下企业人才工作中最为重视的能力建设。以往多数企业过多地专注于生产经营和营收利润等直接体现企业效益的参数；对于企业文化建设、增强人文关怀和关注员工心理往往是纸上谈兵，空中楼阁。而此次疫情在导致企业生产经营活动放缓，甚至是人员冗余的情况下，为企业提供了从以往的业务能力建设等“硬实力”转向打造企业文化、人文关怀等</w:t>
      </w:r>
      <w:proofErr w:type="gramStart"/>
      <w:r>
        <w:rPr>
          <w:rFonts w:hint="eastAsia"/>
        </w:rPr>
        <w:t>“</w:t>
      </w:r>
      <w:proofErr w:type="gramEnd"/>
      <w:r>
        <w:rPr>
          <w:rFonts w:hint="eastAsia"/>
        </w:rPr>
        <w:t>软实力“的良好机会。</w:t>
      </w:r>
    </w:p>
    <w:p w:rsidR="00F836E4" w:rsidRDefault="00B228FD">
      <w:pPr>
        <w:spacing w:after="120" w:line="300" w:lineRule="auto"/>
        <w:ind w:firstLineChars="200" w:firstLine="480"/>
      </w:pPr>
      <w:r>
        <w:rPr>
          <w:rFonts w:hint="eastAsia"/>
        </w:rPr>
        <w:t>此次机会也是企业开始</w:t>
      </w:r>
      <w:proofErr w:type="gramStart"/>
      <w:r>
        <w:rPr>
          <w:rFonts w:hint="eastAsia"/>
        </w:rPr>
        <w:t>探索线</w:t>
      </w:r>
      <w:proofErr w:type="gramEnd"/>
      <w:r>
        <w:rPr>
          <w:rFonts w:hint="eastAsia"/>
        </w:rPr>
        <w:t>上远程办公、打造线上业务平台的重要机会。远程办公是每个企业的硬核能力，也是企业强有力的风险管理能力的体现。当然，当下远程办公正处于上升阶段。随</w:t>
      </w:r>
      <w:r>
        <w:rPr>
          <w:rFonts w:hint="eastAsia"/>
        </w:rPr>
        <w:t>着企业与员工意识的不断提升，工作方式更多的将成为一种形式，更重要的是提升工作效率。对于企业完全</w:t>
      </w:r>
      <w:proofErr w:type="gramStart"/>
      <w:r>
        <w:rPr>
          <w:rFonts w:hint="eastAsia"/>
        </w:rPr>
        <w:t>实现线</w:t>
      </w:r>
      <w:proofErr w:type="gramEnd"/>
      <w:r>
        <w:rPr>
          <w:rFonts w:hint="eastAsia"/>
        </w:rPr>
        <w:t>上的远程办公，目前仍然有不少方面有待突破。</w:t>
      </w:r>
    </w:p>
    <w:p w:rsidR="00F836E4" w:rsidRDefault="00B228FD">
      <w:pPr>
        <w:spacing w:after="120"/>
        <w:ind w:leftChars="-1" w:left="-2"/>
      </w:pPr>
      <w:r>
        <w:rPr>
          <w:noProof/>
        </w:rPr>
        <w:drawing>
          <wp:inline distT="0" distB="0" distL="0" distR="0">
            <wp:extent cx="6179820" cy="1774825"/>
            <wp:effectExtent l="0" t="0" r="5080" b="3175"/>
            <wp:docPr id="59" name="图表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hint="eastAsia"/>
        </w:rPr>
        <w:t>图</w:t>
      </w:r>
      <w:r>
        <w:rPr>
          <w:rFonts w:ascii="华文楷体" w:eastAsia="华文楷体" w:hAnsi="华文楷体"/>
        </w:rPr>
        <w:fldChar w:fldCharType="begin"/>
      </w:r>
      <w:r>
        <w:rPr>
          <w:rFonts w:ascii="华文楷体" w:eastAsia="华文楷体" w:hAnsi="华文楷体"/>
        </w:rPr>
        <w:instrText xml:space="preserve"> </w:instrText>
      </w:r>
      <w:r>
        <w:rPr>
          <w:rFonts w:ascii="华文楷体" w:eastAsia="华文楷体" w:hAnsi="华文楷体" w:hint="eastAsia"/>
        </w:rPr>
        <w:instrText xml:space="preserve">SEQ </w:instrText>
      </w:r>
      <w:r>
        <w:rPr>
          <w:rFonts w:ascii="华文楷体" w:eastAsia="华文楷体" w:hAnsi="华文楷体" w:hint="eastAsia"/>
        </w:rPr>
        <w:instrText>图</w:instrText>
      </w:r>
      <w:r>
        <w:rPr>
          <w:rFonts w:ascii="华文楷体" w:eastAsia="华文楷体" w:hAnsi="华文楷体" w:hint="eastAsia"/>
        </w:rPr>
        <w:instrText>1- \* ARABIC</w:instrText>
      </w:r>
      <w:r>
        <w:rPr>
          <w:rFonts w:ascii="华文楷体" w:eastAsia="华文楷体" w:hAnsi="华文楷体"/>
        </w:rPr>
        <w:instrText xml:space="preserve"> </w:instrText>
      </w:r>
      <w:r>
        <w:rPr>
          <w:rFonts w:ascii="华文楷体" w:eastAsia="华文楷体" w:hAnsi="华文楷体"/>
        </w:rPr>
        <w:fldChar w:fldCharType="separate"/>
      </w:r>
      <w:r>
        <w:rPr>
          <w:rFonts w:ascii="华文楷体" w:eastAsia="华文楷体" w:hAnsi="华文楷体"/>
        </w:rPr>
        <w:t>19</w:t>
      </w:r>
      <w:r>
        <w:rPr>
          <w:rFonts w:ascii="华文楷体" w:eastAsia="华文楷体" w:hAnsi="华文楷体"/>
        </w:rPr>
        <w:fldChar w:fldCharType="end"/>
      </w:r>
      <w:r>
        <w:rPr>
          <w:rFonts w:ascii="华文楷体" w:eastAsia="华文楷体" w:hAnsi="华文楷体" w:hint="eastAsia"/>
        </w:rPr>
        <w:t>：企业应对人才工作挑战的举措</w:t>
      </w:r>
    </w:p>
    <w:p w:rsidR="00F836E4" w:rsidRDefault="00F836E4">
      <w:pPr>
        <w:sectPr w:rsidR="00F836E4">
          <w:pgSz w:w="11906" w:h="16838"/>
          <w:pgMar w:top="1440" w:right="1800" w:bottom="1440" w:left="1800" w:header="851" w:footer="992" w:gutter="0"/>
          <w:cols w:space="425"/>
          <w:docGrid w:type="lines" w:linePitch="312"/>
        </w:sectPr>
      </w:pP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lastRenderedPageBreak/>
        <w:t>【扶持需求】</w:t>
      </w:r>
    </w:p>
    <w:p w:rsidR="00F836E4" w:rsidRDefault="00B228FD">
      <w:pPr>
        <w:spacing w:after="156"/>
        <w:rPr>
          <w:rFonts w:ascii="微软雅黑" w:eastAsia="微软雅黑" w:hAnsi="微软雅黑"/>
          <w:b/>
          <w:bCs/>
        </w:rPr>
      </w:pPr>
      <w:r>
        <w:rPr>
          <w:rFonts w:ascii="微软雅黑" w:eastAsia="微软雅黑" w:hAnsi="微软雅黑" w:hint="eastAsia"/>
          <w:b/>
          <w:bCs/>
        </w:rPr>
        <w:t>减轻企业负担，推动复工复产是企业重点诉求</w:t>
      </w:r>
    </w:p>
    <w:p w:rsidR="00F836E4" w:rsidRDefault="00B228FD">
      <w:pPr>
        <w:spacing w:after="120" w:line="300" w:lineRule="auto"/>
        <w:ind w:firstLineChars="200" w:firstLine="480"/>
        <w:jc w:val="both"/>
      </w:pPr>
      <w:r>
        <w:rPr>
          <w:rFonts w:hint="eastAsia"/>
        </w:rPr>
        <w:t>从政府层面来看，减轻企业负担、推动企业复工复产成为最重要的选择。其中</w:t>
      </w:r>
      <w:r>
        <w:rPr>
          <w:rFonts w:hint="eastAsia"/>
        </w:rPr>
        <w:t>97.3</w:t>
      </w:r>
      <w:r>
        <w:t>%</w:t>
      </w:r>
      <w:r>
        <w:rPr>
          <w:rFonts w:hint="eastAsia"/>
        </w:rPr>
        <w:t>的企业表示希望政府能够出台减轻企业负担，</w:t>
      </w:r>
      <w:proofErr w:type="gramStart"/>
      <w:r>
        <w:rPr>
          <w:rFonts w:hint="eastAsia"/>
        </w:rPr>
        <w:t>实施援企稳</w:t>
      </w:r>
      <w:proofErr w:type="gramEnd"/>
      <w:r>
        <w:rPr>
          <w:rFonts w:hint="eastAsia"/>
        </w:rPr>
        <w:t>岗、减轻税费等政策来辅助企业恢复生产，减少企业生产经营压力；</w:t>
      </w:r>
      <w:r>
        <w:rPr>
          <w:rFonts w:hint="eastAsia"/>
        </w:rPr>
        <w:t>87.</w:t>
      </w:r>
      <w:r>
        <w:t>8</w:t>
      </w:r>
      <w:r>
        <w:rPr>
          <w:rFonts w:hint="eastAsia"/>
        </w:rPr>
        <w:t>%</w:t>
      </w:r>
      <w:r>
        <w:rPr>
          <w:rFonts w:hint="eastAsia"/>
        </w:rPr>
        <w:t>的企业表示希望政府能够在保障疫情防控的基础上尽力恢复和推动企业复工复产，尽量减少企业损失。这两项诉求从一定层面上也反映出云南省工程勘察设计企业具有较高的自主性，希望能够在政府的辅助支持下，充分发挥企业的“自救”能力，努力恢复生产经营。</w:t>
      </w:r>
    </w:p>
    <w:p w:rsidR="00F836E4" w:rsidRDefault="00B228FD">
      <w:pPr>
        <w:spacing w:after="120" w:line="300" w:lineRule="auto"/>
        <w:ind w:firstLineChars="200" w:firstLine="480"/>
        <w:jc w:val="both"/>
      </w:pPr>
      <w:r>
        <w:rPr>
          <w:rFonts w:hint="eastAsia"/>
        </w:rPr>
        <w:t>未来，企业也希望行业相关管理部门能够针对行业发展出台相关政策，主要集中在：</w:t>
      </w:r>
    </w:p>
    <w:p w:rsidR="00F836E4" w:rsidRDefault="00B228FD">
      <w:pPr>
        <w:spacing w:after="120" w:line="300" w:lineRule="auto"/>
        <w:ind w:firstLineChars="200" w:firstLine="480"/>
        <w:jc w:val="both"/>
      </w:pPr>
      <w:r>
        <w:rPr>
          <w:rFonts w:hint="eastAsia"/>
        </w:rPr>
        <w:t>政策的优化调整，加快企业恢复。例如出台专项扶持政策，科技创新优惠政策，减税降费，减轻企业负担，减少疫情对企业的影响。尤其是对于中小型设计企业，希望能够加大扶持力度。资质申请、年审等希望能考虑因为疫情</w:t>
      </w:r>
      <w:r>
        <w:rPr>
          <w:rFonts w:hint="eastAsia"/>
        </w:rPr>
        <w:t>到导致的业绩下滑情况。此外，不少企业希望能够加大对本土企业的扶持力度。</w:t>
      </w:r>
    </w:p>
    <w:p w:rsidR="00F836E4" w:rsidRDefault="00B228FD">
      <w:pPr>
        <w:spacing w:after="120" w:line="300" w:lineRule="auto"/>
        <w:ind w:firstLineChars="200" w:firstLine="480"/>
        <w:jc w:val="both"/>
      </w:pPr>
      <w:r>
        <w:rPr>
          <w:rFonts w:hint="eastAsia"/>
        </w:rPr>
        <w:t>增加市场需求，希望后续在基础领域加大投资，例如推进医疗基础设施建设等。</w:t>
      </w:r>
    </w:p>
    <w:p w:rsidR="00F836E4" w:rsidRDefault="00B228FD">
      <w:pPr>
        <w:spacing w:after="120" w:line="300" w:lineRule="auto"/>
        <w:ind w:firstLineChars="200" w:firstLine="480"/>
        <w:jc w:val="both"/>
      </w:pPr>
      <w:r>
        <w:t>规范行业内企业的市场行为</w:t>
      </w:r>
      <w:r>
        <w:rPr>
          <w:rFonts w:hint="eastAsia"/>
        </w:rPr>
        <w:t>，</w:t>
      </w:r>
      <w:r>
        <w:t>加强整体建筑行业规范化管理，</w:t>
      </w:r>
      <w:r>
        <w:rPr>
          <w:rFonts w:hint="eastAsia"/>
        </w:rPr>
        <w:t>适当上调合同价格</w:t>
      </w:r>
      <w:r>
        <w:t>，避免</w:t>
      </w:r>
      <w:r>
        <w:rPr>
          <w:rFonts w:hint="eastAsia"/>
        </w:rPr>
        <w:t>不正当市场</w:t>
      </w:r>
      <w:r>
        <w:t>竞争，</w:t>
      </w:r>
      <w:r>
        <w:rPr>
          <w:rFonts w:hint="eastAsia"/>
        </w:rPr>
        <w:t>加强市场化程度。</w:t>
      </w:r>
    </w:p>
    <w:p w:rsidR="00F836E4" w:rsidRDefault="00B228FD">
      <w:pPr>
        <w:spacing w:after="120" w:line="300" w:lineRule="auto"/>
        <w:ind w:firstLineChars="200" w:firstLine="480"/>
        <w:jc w:val="both"/>
      </w:pPr>
      <w:r>
        <w:rPr>
          <w:rFonts w:hint="eastAsia"/>
        </w:rPr>
        <w:t>加大信息化工作力度，希望开展远程评审。希望</w:t>
      </w:r>
      <w:r>
        <w:t>继续加大</w:t>
      </w:r>
      <w:proofErr w:type="gramStart"/>
      <w:r>
        <w:t>放管服力度</w:t>
      </w:r>
      <w:proofErr w:type="gramEnd"/>
      <w:r>
        <w:t>，</w:t>
      </w:r>
      <w:r>
        <w:rPr>
          <w:rFonts w:hint="eastAsia"/>
        </w:rPr>
        <w:t>简化资质申报体系，加大对线上公共服务的建设，尤其是涉及到企业资质延续工作，希望能够加快</w:t>
      </w:r>
      <w:proofErr w:type="gramStart"/>
      <w:r>
        <w:rPr>
          <w:rFonts w:hint="eastAsia"/>
        </w:rPr>
        <w:t>网上审批</w:t>
      </w:r>
      <w:proofErr w:type="gramEnd"/>
      <w:r>
        <w:rPr>
          <w:rFonts w:hint="eastAsia"/>
        </w:rPr>
        <w:t>或者适当延长资质。</w:t>
      </w:r>
    </w:p>
    <w:p w:rsidR="00F836E4" w:rsidRDefault="00B228FD">
      <w:pPr>
        <w:spacing w:after="120" w:line="300" w:lineRule="auto"/>
        <w:jc w:val="center"/>
      </w:pPr>
      <w:r>
        <w:rPr>
          <w:noProof/>
        </w:rPr>
        <w:drawing>
          <wp:inline distT="0" distB="0" distL="0" distR="0">
            <wp:extent cx="5205095" cy="1588135"/>
            <wp:effectExtent l="0" t="0" r="0" b="0"/>
            <wp:docPr id="62" name="图表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F836E4" w:rsidRDefault="00B228FD">
      <w:pPr>
        <w:pStyle w:val="a3"/>
        <w:spacing w:afterLines="50" w:after="156"/>
        <w:jc w:val="center"/>
        <w:rPr>
          <w:rFonts w:ascii="华文楷体" w:eastAsia="华文楷体" w:hAnsi="华文楷体"/>
        </w:rPr>
      </w:pPr>
      <w:r>
        <w:rPr>
          <w:rFonts w:ascii="华文楷体" w:eastAsia="华文楷体" w:hAnsi="华文楷体" w:hint="eastAsia"/>
        </w:rPr>
        <w:t>图</w:t>
      </w:r>
      <w:r>
        <w:rPr>
          <w:rFonts w:ascii="华文楷体" w:eastAsia="华文楷体" w:hAnsi="华文楷体"/>
        </w:rPr>
        <w:fldChar w:fldCharType="begin"/>
      </w:r>
      <w:r>
        <w:rPr>
          <w:rFonts w:ascii="华文楷体" w:eastAsia="华文楷体" w:hAnsi="华文楷体"/>
        </w:rPr>
        <w:instrText xml:space="preserve"> </w:instrText>
      </w:r>
      <w:r>
        <w:rPr>
          <w:rFonts w:ascii="华文楷体" w:eastAsia="华文楷体" w:hAnsi="华文楷体" w:hint="eastAsia"/>
        </w:rPr>
        <w:instrText xml:space="preserve">SEQ </w:instrText>
      </w:r>
      <w:r>
        <w:rPr>
          <w:rFonts w:ascii="华文楷体" w:eastAsia="华文楷体" w:hAnsi="华文楷体" w:hint="eastAsia"/>
        </w:rPr>
        <w:instrText>图</w:instrText>
      </w:r>
      <w:r>
        <w:rPr>
          <w:rFonts w:ascii="华文楷体" w:eastAsia="华文楷体" w:hAnsi="华文楷体" w:hint="eastAsia"/>
        </w:rPr>
        <w:instrText>1- \* ARABIC</w:instrText>
      </w:r>
      <w:r>
        <w:rPr>
          <w:rFonts w:ascii="华文楷体" w:eastAsia="华文楷体" w:hAnsi="华文楷体"/>
        </w:rPr>
        <w:instrText xml:space="preserve"> </w:instrText>
      </w:r>
      <w:r>
        <w:rPr>
          <w:rFonts w:ascii="华文楷体" w:eastAsia="华文楷体" w:hAnsi="华文楷体"/>
        </w:rPr>
        <w:fldChar w:fldCharType="separate"/>
      </w:r>
      <w:r>
        <w:rPr>
          <w:rFonts w:ascii="华文楷体" w:eastAsia="华文楷体" w:hAnsi="华文楷体"/>
        </w:rPr>
        <w:t>20</w:t>
      </w:r>
      <w:r>
        <w:rPr>
          <w:rFonts w:ascii="华文楷体" w:eastAsia="华文楷体" w:hAnsi="华文楷体"/>
        </w:rPr>
        <w:fldChar w:fldCharType="end"/>
      </w:r>
      <w:r>
        <w:rPr>
          <w:rFonts w:ascii="华文楷体" w:eastAsia="华文楷体" w:hAnsi="华文楷体" w:hint="eastAsia"/>
        </w:rPr>
        <w:t>：希望得到的政策支持</w:t>
      </w:r>
    </w:p>
    <w:p w:rsidR="00F836E4" w:rsidRDefault="00F836E4">
      <w:pPr>
        <w:spacing w:after="120" w:line="300" w:lineRule="auto"/>
        <w:ind w:firstLineChars="200" w:firstLine="480"/>
      </w:pPr>
    </w:p>
    <w:p w:rsidR="00F836E4" w:rsidRDefault="00F836E4">
      <w:pPr>
        <w:spacing w:after="156"/>
        <w:outlineLvl w:val="0"/>
        <w:rPr>
          <w:rFonts w:ascii="微软雅黑" w:eastAsia="微软雅黑" w:hAnsi="微软雅黑"/>
          <w:b/>
          <w:bCs/>
          <w:color w:val="0070C0"/>
          <w:sz w:val="28"/>
          <w:szCs w:val="28"/>
        </w:rPr>
        <w:sectPr w:rsidR="00F836E4">
          <w:pgSz w:w="11906" w:h="16838"/>
          <w:pgMar w:top="1440" w:right="1800" w:bottom="1440" w:left="1800" w:header="851" w:footer="992" w:gutter="0"/>
          <w:cols w:space="425"/>
          <w:docGrid w:type="lines" w:linePitch="312"/>
        </w:sectPr>
      </w:pP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lastRenderedPageBreak/>
        <w:t>【政府扶持政策】</w:t>
      </w:r>
    </w:p>
    <w:p w:rsidR="00F836E4" w:rsidRDefault="00B228FD">
      <w:pPr>
        <w:spacing w:after="120" w:line="300" w:lineRule="auto"/>
        <w:ind w:firstLineChars="200" w:firstLine="480"/>
        <w:jc w:val="both"/>
      </w:pPr>
      <w:r>
        <w:rPr>
          <w:rFonts w:hint="eastAsia"/>
        </w:rPr>
        <w:t>当下，国家及地方政府积极出台各种政策，保障国民经济的正常运行。</w:t>
      </w:r>
    </w:p>
    <w:p w:rsidR="00F836E4" w:rsidRDefault="00B228FD">
      <w:pPr>
        <w:spacing w:after="120" w:line="300" w:lineRule="auto"/>
        <w:ind w:firstLineChars="200" w:firstLine="480"/>
        <w:jc w:val="both"/>
      </w:pPr>
      <w:r>
        <w:rPr>
          <w:rFonts w:hint="eastAsia"/>
        </w:rPr>
        <w:t>从财税支持的角度来看，以加强减税降费，扩大支出力度为主。自</w:t>
      </w:r>
      <w:r>
        <w:rPr>
          <w:rFonts w:hint="eastAsia"/>
        </w:rPr>
        <w:t>2</w:t>
      </w:r>
      <w:r>
        <w:rPr>
          <w:rFonts w:hint="eastAsia"/>
        </w:rPr>
        <w:t>月</w:t>
      </w:r>
      <w:r>
        <w:rPr>
          <w:rFonts w:hint="eastAsia"/>
        </w:rPr>
        <w:t>2</w:t>
      </w:r>
      <w:r>
        <w:rPr>
          <w:rFonts w:hint="eastAsia"/>
        </w:rPr>
        <w:t>日以来北京、上海、苏州、无锡、青岛、宁波、山东、湖北等省市密集出台扶持中小企业发展的财税政策，通过减税降费减轻企业负担，帮助各类企业稳定生产经营。</w:t>
      </w:r>
    </w:p>
    <w:p w:rsidR="00F836E4" w:rsidRDefault="00B228FD">
      <w:pPr>
        <w:spacing w:after="120" w:line="300" w:lineRule="auto"/>
        <w:ind w:firstLineChars="200" w:firstLine="480"/>
        <w:jc w:val="both"/>
      </w:pPr>
      <w:r>
        <w:rPr>
          <w:rFonts w:hint="eastAsia"/>
        </w:rPr>
        <w:t>从金融支持的角度来看，降低企业融资成本，维护金融系统稳定。各地政府强调以优质、快捷、高效的金融服务全面助力疫情防控，保证经济金融体系平稳运行，降低企业融资利率，为企业生产经营提供流动性</w:t>
      </w:r>
      <w:r>
        <w:rPr>
          <w:rFonts w:hint="eastAsia"/>
        </w:rPr>
        <w:t>支持。</w:t>
      </w:r>
    </w:p>
    <w:p w:rsidR="00F836E4" w:rsidRDefault="00B228FD">
      <w:pPr>
        <w:spacing w:after="120" w:line="300" w:lineRule="auto"/>
        <w:ind w:firstLineChars="200" w:firstLine="480"/>
        <w:jc w:val="both"/>
      </w:pPr>
      <w:proofErr w:type="gramStart"/>
      <w:r>
        <w:rPr>
          <w:rFonts w:hint="eastAsia"/>
        </w:rPr>
        <w:t>从稳岗就业</w:t>
      </w:r>
      <w:proofErr w:type="gramEnd"/>
      <w:r>
        <w:rPr>
          <w:rFonts w:hint="eastAsia"/>
        </w:rPr>
        <w:t>的角度来看，政策强调保障职工工资待遇权益，合理分担企业</w:t>
      </w:r>
      <w:proofErr w:type="gramStart"/>
      <w:r>
        <w:rPr>
          <w:rFonts w:hint="eastAsia"/>
        </w:rPr>
        <w:t>稳岗成本</w:t>
      </w:r>
      <w:proofErr w:type="gramEnd"/>
      <w:r>
        <w:rPr>
          <w:rFonts w:hint="eastAsia"/>
        </w:rPr>
        <w:t>。</w:t>
      </w:r>
      <w:r>
        <w:rPr>
          <w:rFonts w:hint="eastAsia"/>
        </w:rPr>
        <w:t>2</w:t>
      </w:r>
      <w:r>
        <w:rPr>
          <w:rFonts w:hint="eastAsia"/>
        </w:rPr>
        <w:t>月</w:t>
      </w:r>
      <w:r>
        <w:rPr>
          <w:rFonts w:hint="eastAsia"/>
        </w:rPr>
        <w:t>8</w:t>
      </w:r>
      <w:r>
        <w:rPr>
          <w:rFonts w:hint="eastAsia"/>
        </w:rPr>
        <w:t>日中国人力资源和社会保障部等多部门日前印发意见，提出采取多种措施减轻企业负担，合理分担企业</w:t>
      </w:r>
      <w:proofErr w:type="gramStart"/>
      <w:r>
        <w:rPr>
          <w:rFonts w:hint="eastAsia"/>
        </w:rPr>
        <w:t>稳岗成本</w:t>
      </w:r>
      <w:proofErr w:type="gramEnd"/>
      <w:r>
        <w:rPr>
          <w:rFonts w:hint="eastAsia"/>
        </w:rPr>
        <w:t>。</w:t>
      </w:r>
    </w:p>
    <w:p w:rsidR="00F836E4" w:rsidRDefault="00B228FD">
      <w:pPr>
        <w:pStyle w:val="a3"/>
        <w:jc w:val="center"/>
        <w:rPr>
          <w:rFonts w:ascii="微软雅黑" w:eastAsia="微软雅黑" w:hAnsi="微软雅黑"/>
        </w:rPr>
      </w:pPr>
      <w:r>
        <w:rPr>
          <w:rFonts w:ascii="微软雅黑" w:eastAsia="微软雅黑" w:hAnsi="微软雅黑"/>
        </w:rPr>
        <w:t>表</w:t>
      </w:r>
      <w:r>
        <w:rPr>
          <w:rFonts w:ascii="微软雅黑" w:eastAsia="微软雅黑" w:hAnsi="微软雅黑"/>
        </w:rPr>
        <w:t xml:space="preserve"> </w:t>
      </w:r>
      <w:r>
        <w:rPr>
          <w:rFonts w:ascii="微软雅黑" w:eastAsia="微软雅黑" w:hAnsi="微软雅黑"/>
        </w:rPr>
        <w:fldChar w:fldCharType="begin"/>
      </w:r>
      <w:r>
        <w:rPr>
          <w:rFonts w:ascii="微软雅黑" w:eastAsia="微软雅黑" w:hAnsi="微软雅黑"/>
        </w:rPr>
        <w:instrText xml:space="preserve"> SEQ </w:instrText>
      </w:r>
      <w:r>
        <w:rPr>
          <w:rFonts w:ascii="微软雅黑" w:eastAsia="微软雅黑" w:hAnsi="微软雅黑"/>
        </w:rPr>
        <w:instrText>表</w:instrText>
      </w:r>
      <w:r>
        <w:rPr>
          <w:rFonts w:ascii="微软雅黑" w:eastAsia="微软雅黑" w:hAnsi="微软雅黑"/>
        </w:rPr>
        <w:instrText xml:space="preserve"> \* ARABIC </w:instrText>
      </w:r>
      <w:r>
        <w:rPr>
          <w:rFonts w:ascii="微软雅黑" w:eastAsia="微软雅黑" w:hAnsi="微软雅黑"/>
        </w:rPr>
        <w:fldChar w:fldCharType="separate"/>
      </w:r>
      <w:r>
        <w:rPr>
          <w:rFonts w:ascii="微软雅黑" w:eastAsia="微软雅黑" w:hAnsi="微软雅黑"/>
        </w:rPr>
        <w:t>1</w:t>
      </w:r>
      <w:r>
        <w:rPr>
          <w:rFonts w:ascii="微软雅黑" w:eastAsia="微软雅黑" w:hAnsi="微软雅黑"/>
        </w:rPr>
        <w:fldChar w:fldCharType="end"/>
      </w:r>
      <w:r>
        <w:rPr>
          <w:rFonts w:ascii="微软雅黑" w:eastAsia="微软雅黑" w:hAnsi="微软雅黑" w:hint="eastAsia"/>
        </w:rPr>
        <w:t>：部分国家扶持政策梳理</w:t>
      </w:r>
    </w:p>
    <w:tbl>
      <w:tblPr>
        <w:tblW w:w="8354" w:type="dxa"/>
        <w:tblCellMar>
          <w:left w:w="0" w:type="dxa"/>
          <w:right w:w="0" w:type="dxa"/>
        </w:tblCellMar>
        <w:tblLook w:val="04A0" w:firstRow="1" w:lastRow="0" w:firstColumn="1" w:lastColumn="0" w:noHBand="0" w:noVBand="1"/>
      </w:tblPr>
      <w:tblGrid>
        <w:gridCol w:w="1975"/>
        <w:gridCol w:w="992"/>
        <w:gridCol w:w="5387"/>
      </w:tblGrid>
      <w:tr w:rsidR="00F836E4">
        <w:trPr>
          <w:trHeight w:val="584"/>
        </w:trPr>
        <w:tc>
          <w:tcPr>
            <w:tcW w:w="1975" w:type="dxa"/>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color w:val="FFFFFF" w:themeColor="background1"/>
                <w:sz w:val="16"/>
                <w:szCs w:val="16"/>
              </w:rPr>
            </w:pPr>
            <w:r>
              <w:rPr>
                <w:rFonts w:ascii="微软雅黑" w:eastAsia="微软雅黑" w:hAnsi="微软雅黑" w:hint="eastAsia"/>
                <w:b/>
                <w:bCs/>
                <w:color w:val="FFFFFF" w:themeColor="background1"/>
                <w:sz w:val="16"/>
                <w:szCs w:val="16"/>
              </w:rPr>
              <w:t>部门</w:t>
            </w:r>
            <w:r>
              <w:rPr>
                <w:rFonts w:ascii="微软雅黑" w:eastAsia="微软雅黑" w:hAnsi="微软雅黑" w:hint="eastAsia"/>
                <w:b/>
                <w:bCs/>
                <w:color w:val="FFFFFF" w:themeColor="background1"/>
                <w:sz w:val="16"/>
                <w:szCs w:val="16"/>
              </w:rPr>
              <w:t>/</w:t>
            </w:r>
            <w:r>
              <w:rPr>
                <w:rFonts w:ascii="微软雅黑" w:eastAsia="微软雅黑" w:hAnsi="微软雅黑" w:hint="eastAsia"/>
                <w:b/>
                <w:bCs/>
                <w:color w:val="FFFFFF" w:themeColor="background1"/>
                <w:sz w:val="16"/>
                <w:szCs w:val="16"/>
              </w:rPr>
              <w:t>地方</w:t>
            </w:r>
          </w:p>
        </w:tc>
        <w:tc>
          <w:tcPr>
            <w:tcW w:w="992" w:type="dxa"/>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color w:val="FFFFFF" w:themeColor="background1"/>
                <w:sz w:val="16"/>
                <w:szCs w:val="16"/>
              </w:rPr>
            </w:pPr>
            <w:r>
              <w:rPr>
                <w:rFonts w:ascii="微软雅黑" w:eastAsia="微软雅黑" w:hAnsi="微软雅黑" w:hint="eastAsia"/>
                <w:b/>
                <w:bCs/>
                <w:color w:val="FFFFFF" w:themeColor="background1"/>
                <w:sz w:val="16"/>
                <w:szCs w:val="16"/>
              </w:rPr>
              <w:t>时间</w:t>
            </w:r>
          </w:p>
        </w:tc>
        <w:tc>
          <w:tcPr>
            <w:tcW w:w="5387" w:type="dxa"/>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ind w:firstLine="482"/>
              <w:jc w:val="center"/>
              <w:rPr>
                <w:rFonts w:ascii="微软雅黑" w:eastAsia="微软雅黑" w:hAnsi="微软雅黑"/>
                <w:color w:val="FFFFFF" w:themeColor="background1"/>
                <w:sz w:val="16"/>
                <w:szCs w:val="16"/>
              </w:rPr>
            </w:pPr>
            <w:r>
              <w:rPr>
                <w:rFonts w:ascii="微软雅黑" w:eastAsia="微软雅黑" w:hAnsi="微软雅黑" w:hint="eastAsia"/>
                <w:b/>
                <w:bCs/>
                <w:color w:val="FFFFFF" w:themeColor="background1"/>
                <w:sz w:val="16"/>
                <w:szCs w:val="16"/>
              </w:rPr>
              <w:t>相关政策</w:t>
            </w:r>
          </w:p>
        </w:tc>
      </w:tr>
      <w:tr w:rsidR="00F836E4">
        <w:trPr>
          <w:trHeight w:val="742"/>
        </w:trPr>
        <w:tc>
          <w:tcPr>
            <w:tcW w:w="1975" w:type="dxa"/>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人民银行、财政部、银保监会、证监会、国家外汇管理局</w:t>
            </w:r>
          </w:p>
        </w:tc>
        <w:tc>
          <w:tcPr>
            <w:tcW w:w="992" w:type="dxa"/>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01/31</w:t>
            </w:r>
          </w:p>
        </w:tc>
        <w:tc>
          <w:tcPr>
            <w:tcW w:w="5387" w:type="dxa"/>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关于进一步强化金融支持防控新型冠状病毒感染肺炎疫情的通知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财政部</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02/01</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关于支持金融强化服务做好新型冠状病毒感染肺炎疫情防控工作的通知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国务院</w:t>
            </w:r>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02/05</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国务院常务会议确定支持疫情防控和相关行业企业的财税金融政策</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t>发改委</w:t>
            </w:r>
            <w:proofErr w:type="gramEnd"/>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02/05</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关于应对新型冠状病毒感染肺炎疫情，支持鼓励劳动者参与线上职业技能培训的通知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t>人社部</w:t>
            </w:r>
            <w:proofErr w:type="gramEnd"/>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02/05</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关于做好疫情防控期间有关就业工作的通知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财政部、税务总局</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02/06</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关于支持新型冠状病毒感的染肺炎疫情防控有关税收政策的公告</w:t>
            </w:r>
          </w:p>
        </w:tc>
      </w:tr>
      <w:tr w:rsidR="00F836E4">
        <w:trPr>
          <w:trHeight w:val="742"/>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财政部、</w:t>
            </w:r>
            <w:proofErr w:type="gramStart"/>
            <w:r>
              <w:rPr>
                <w:rFonts w:ascii="微软雅黑" w:eastAsia="微软雅黑" w:hAnsi="微软雅黑" w:hint="eastAsia"/>
                <w:sz w:val="16"/>
                <w:szCs w:val="16"/>
              </w:rPr>
              <w:t>发改委</w:t>
            </w:r>
            <w:proofErr w:type="gramEnd"/>
            <w:r>
              <w:rPr>
                <w:rFonts w:ascii="微软雅黑" w:eastAsia="微软雅黑" w:hAnsi="微软雅黑" w:hint="eastAsia"/>
                <w:sz w:val="16"/>
                <w:szCs w:val="16"/>
              </w:rPr>
              <w:t>、工信部、人民银行和审计署</w:t>
            </w:r>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02/07</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打赢疫情防控阻击战，强化疫情防控重点保障企业资金支持的紧急通知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人民银行</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02/07</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召开电视电话会议部署专项再贷款支持疫情防控工作</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lastRenderedPageBreak/>
              <w:t>发改委</w:t>
            </w:r>
            <w:proofErr w:type="gramEnd"/>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02/08</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关于疫情防控期间做好企业债券工作的通知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人大法工委</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w:t>
            </w:r>
            <w:r>
              <w:rPr>
                <w:rFonts w:ascii="微软雅黑" w:eastAsia="微软雅黑" w:hAnsi="微软雅黑"/>
                <w:sz w:val="16"/>
                <w:szCs w:val="16"/>
              </w:rPr>
              <w:t>2</w:t>
            </w:r>
            <w:r>
              <w:rPr>
                <w:rFonts w:ascii="微软雅黑" w:eastAsia="微软雅黑" w:hAnsi="微软雅黑" w:hint="eastAsia"/>
                <w:sz w:val="16"/>
                <w:szCs w:val="16"/>
              </w:rPr>
              <w:t>/</w:t>
            </w:r>
            <w:r>
              <w:rPr>
                <w:rFonts w:ascii="微软雅黑" w:eastAsia="微软雅黑" w:hAnsi="微软雅黑"/>
                <w:sz w:val="16"/>
                <w:szCs w:val="16"/>
              </w:rPr>
              <w:t>10</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明确</w:t>
            </w:r>
            <w:r>
              <w:rPr>
                <w:rFonts w:ascii="微软雅黑" w:eastAsia="微软雅黑" w:hAnsi="微软雅黑"/>
                <w:sz w:val="16"/>
                <w:szCs w:val="16"/>
              </w:rPr>
              <w:t>此次疫情防控影响到合同履行的情况，属于不可抗力的情形</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国家税务总局</w:t>
            </w:r>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02/10</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关于支持新型冠状病毒感染的肺炎疫情防控有关税收征收管理事项的公告</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商务部</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02/11</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关于积极指导帮助走出去企业做好新冠肺炎疫情应对工作的通知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t>人社部</w:t>
            </w:r>
            <w:proofErr w:type="gramEnd"/>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02/12</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关于在新冠肺炎疫情防控期间免费开放中国职业培训在线等培训平台提供线上培训与教育服务的通知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税务总局</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02/17</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关于进一步延长</w:t>
            </w:r>
            <w:r>
              <w:rPr>
                <w:rFonts w:ascii="微软雅黑" w:eastAsia="微软雅黑" w:hAnsi="微软雅黑"/>
                <w:sz w:val="16"/>
                <w:szCs w:val="16"/>
              </w:rPr>
              <w:t>2020</w:t>
            </w:r>
            <w:r>
              <w:rPr>
                <w:rFonts w:ascii="微软雅黑" w:eastAsia="微软雅黑" w:hAnsi="微软雅黑"/>
                <w:sz w:val="16"/>
                <w:szCs w:val="16"/>
              </w:rPr>
              <w:t>年</w:t>
            </w:r>
            <w:r>
              <w:rPr>
                <w:rFonts w:ascii="微软雅黑" w:eastAsia="微软雅黑" w:hAnsi="微软雅黑"/>
                <w:sz w:val="16"/>
                <w:szCs w:val="16"/>
              </w:rPr>
              <w:t>2</w:t>
            </w:r>
            <w:r>
              <w:rPr>
                <w:rFonts w:ascii="微软雅黑" w:eastAsia="微软雅黑" w:hAnsi="微软雅黑"/>
                <w:sz w:val="16"/>
                <w:szCs w:val="16"/>
              </w:rPr>
              <w:t>月份纳税申报期限有关事项的通知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工信部</w:t>
            </w:r>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02/18</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关于运用新一代信息技术支撑服务疫情防控和复工复产工作的通知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sz w:val="16"/>
                <w:szCs w:val="16"/>
              </w:rPr>
              <w:t>人力资源社会保障部</w:t>
            </w:r>
            <w:r>
              <w:rPr>
                <w:rFonts w:ascii="微软雅黑" w:eastAsia="微软雅黑" w:hAnsi="微软雅黑"/>
                <w:sz w:val="16"/>
                <w:szCs w:val="16"/>
              </w:rPr>
              <w:t xml:space="preserve"> </w:t>
            </w:r>
            <w:r>
              <w:rPr>
                <w:rFonts w:ascii="微软雅黑" w:eastAsia="微软雅黑" w:hAnsi="微软雅黑"/>
                <w:sz w:val="16"/>
                <w:szCs w:val="16"/>
              </w:rPr>
              <w:t>财政部</w:t>
            </w:r>
            <w:r>
              <w:rPr>
                <w:rFonts w:ascii="微软雅黑" w:eastAsia="微软雅黑" w:hAnsi="微软雅黑"/>
                <w:sz w:val="16"/>
                <w:szCs w:val="16"/>
              </w:rPr>
              <w:t xml:space="preserve"> </w:t>
            </w:r>
            <w:r>
              <w:rPr>
                <w:rFonts w:ascii="微软雅黑" w:eastAsia="微软雅黑" w:hAnsi="微软雅黑"/>
                <w:sz w:val="16"/>
                <w:szCs w:val="16"/>
              </w:rPr>
              <w:t>税务总局</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02/20</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sz w:val="16"/>
                <w:szCs w:val="16"/>
              </w:rPr>
              <w:t>关于阶段性减免企业社会保险费的通知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t>医</w:t>
            </w:r>
            <w:proofErr w:type="gramEnd"/>
            <w:r>
              <w:rPr>
                <w:rFonts w:ascii="微软雅黑" w:eastAsia="微软雅黑" w:hAnsi="微软雅黑" w:hint="eastAsia"/>
                <w:sz w:val="16"/>
                <w:szCs w:val="16"/>
              </w:rPr>
              <w:t>保局</w:t>
            </w:r>
            <w:r>
              <w:rPr>
                <w:rFonts w:ascii="微软雅黑" w:eastAsia="微软雅黑" w:hAnsi="微软雅黑"/>
                <w:sz w:val="16"/>
                <w:szCs w:val="16"/>
              </w:rPr>
              <w:t xml:space="preserve"> </w:t>
            </w:r>
            <w:r>
              <w:rPr>
                <w:rFonts w:ascii="微软雅黑" w:eastAsia="微软雅黑" w:hAnsi="微软雅黑"/>
                <w:sz w:val="16"/>
                <w:szCs w:val="16"/>
              </w:rPr>
              <w:t>财政部</w:t>
            </w:r>
            <w:r>
              <w:rPr>
                <w:rFonts w:ascii="微软雅黑" w:eastAsia="微软雅黑" w:hAnsi="微软雅黑"/>
                <w:sz w:val="16"/>
                <w:szCs w:val="16"/>
              </w:rPr>
              <w:t xml:space="preserve"> </w:t>
            </w:r>
            <w:r>
              <w:rPr>
                <w:rFonts w:ascii="微软雅黑" w:eastAsia="微软雅黑" w:hAnsi="微软雅黑"/>
                <w:sz w:val="16"/>
                <w:szCs w:val="16"/>
              </w:rPr>
              <w:t>税务总局</w:t>
            </w:r>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02/21</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sz w:val="16"/>
                <w:szCs w:val="16"/>
              </w:rPr>
              <w:t>关于阶段性减征</w:t>
            </w:r>
            <w:r>
              <w:rPr>
                <w:rFonts w:ascii="微软雅黑" w:eastAsia="微软雅黑" w:hAnsi="微软雅黑" w:hint="eastAsia"/>
                <w:sz w:val="16"/>
                <w:szCs w:val="16"/>
              </w:rPr>
              <w:t>职工基本医疗保险费的指导意见</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住房城乡建设部</w:t>
            </w:r>
            <w:r>
              <w:rPr>
                <w:rFonts w:ascii="微软雅黑" w:eastAsia="微软雅黑" w:hAnsi="微软雅黑"/>
                <w:sz w:val="16"/>
                <w:szCs w:val="16"/>
              </w:rPr>
              <w:t xml:space="preserve"> </w:t>
            </w:r>
            <w:r>
              <w:rPr>
                <w:rFonts w:ascii="微软雅黑" w:eastAsia="微软雅黑" w:hAnsi="微软雅黑"/>
                <w:sz w:val="16"/>
                <w:szCs w:val="16"/>
              </w:rPr>
              <w:t>财政部</w:t>
            </w:r>
            <w:r>
              <w:rPr>
                <w:rFonts w:ascii="微软雅黑" w:eastAsia="微软雅黑" w:hAnsi="微软雅黑"/>
                <w:sz w:val="16"/>
                <w:szCs w:val="16"/>
              </w:rPr>
              <w:t xml:space="preserve"> </w:t>
            </w:r>
            <w:r>
              <w:rPr>
                <w:rFonts w:ascii="微软雅黑" w:eastAsia="微软雅黑" w:hAnsi="微软雅黑"/>
                <w:sz w:val="16"/>
                <w:szCs w:val="16"/>
              </w:rPr>
              <w:t>人民银行</w:t>
            </w:r>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02/21</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sz w:val="16"/>
                <w:szCs w:val="16"/>
              </w:rPr>
              <w:t>关于妥善应对新冠肺炎疫情</w:t>
            </w:r>
            <w:r>
              <w:rPr>
                <w:rFonts w:ascii="微软雅黑" w:eastAsia="微软雅黑" w:hAnsi="微软雅黑" w:hint="eastAsia"/>
                <w:sz w:val="16"/>
                <w:szCs w:val="16"/>
              </w:rPr>
              <w:t>实施住房公积金阶段性支持政策的通知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t>发改委</w:t>
            </w:r>
            <w:proofErr w:type="gramEnd"/>
          </w:p>
        </w:tc>
        <w:tc>
          <w:tcPr>
            <w:tcW w:w="992"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02/22</w:t>
            </w:r>
          </w:p>
        </w:tc>
        <w:tc>
          <w:tcPr>
            <w:tcW w:w="5387"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关于阶段性降低企业用电成本支持企业复工复产的通知</w:t>
            </w:r>
          </w:p>
        </w:tc>
      </w:tr>
      <w:tr w:rsidR="00F836E4">
        <w:trPr>
          <w:trHeight w:val="584"/>
        </w:trPr>
        <w:tc>
          <w:tcPr>
            <w:tcW w:w="197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t>发改委</w:t>
            </w:r>
            <w:proofErr w:type="gramEnd"/>
          </w:p>
        </w:tc>
        <w:tc>
          <w:tcPr>
            <w:tcW w:w="992"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02/22</w:t>
            </w:r>
          </w:p>
        </w:tc>
        <w:tc>
          <w:tcPr>
            <w:tcW w:w="5387"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关于阶段性降低非居民用气成本支持企业复工复产的通知</w:t>
            </w:r>
          </w:p>
        </w:tc>
      </w:tr>
    </w:tbl>
    <w:p w:rsidR="00F836E4" w:rsidRDefault="00F836E4">
      <w:pPr>
        <w:pStyle w:val="a3"/>
        <w:jc w:val="center"/>
      </w:pPr>
    </w:p>
    <w:p w:rsidR="00F836E4" w:rsidRDefault="00B228FD">
      <w:pPr>
        <w:pStyle w:val="a3"/>
        <w:jc w:val="center"/>
      </w:pPr>
      <w:r>
        <w:t>表</w:t>
      </w:r>
      <w:r>
        <w:t xml:space="preserve"> </w:t>
      </w:r>
      <w:r>
        <w:fldChar w:fldCharType="begin"/>
      </w:r>
      <w:r>
        <w:instrText xml:space="preserve"> SEQ </w:instrText>
      </w:r>
      <w:r>
        <w:instrText>表</w:instrText>
      </w:r>
      <w:r>
        <w:instrText xml:space="preserve"> \* ARABIC </w:instrText>
      </w:r>
      <w:r>
        <w:fldChar w:fldCharType="separate"/>
      </w:r>
      <w:r>
        <w:t>2</w:t>
      </w:r>
      <w:r>
        <w:fldChar w:fldCharType="end"/>
      </w:r>
      <w:r>
        <w:rPr>
          <w:rFonts w:hint="eastAsia"/>
        </w:rPr>
        <w:t>：部分地方扶持政策梳理</w:t>
      </w:r>
    </w:p>
    <w:tbl>
      <w:tblPr>
        <w:tblW w:w="8354" w:type="dxa"/>
        <w:tblCellMar>
          <w:left w:w="0" w:type="dxa"/>
          <w:right w:w="0" w:type="dxa"/>
        </w:tblCellMar>
        <w:tblLook w:val="04A0" w:firstRow="1" w:lastRow="0" w:firstColumn="1" w:lastColumn="0" w:noHBand="0" w:noVBand="1"/>
      </w:tblPr>
      <w:tblGrid>
        <w:gridCol w:w="979"/>
        <w:gridCol w:w="1045"/>
        <w:gridCol w:w="6330"/>
      </w:tblGrid>
      <w:tr w:rsidR="00F836E4">
        <w:trPr>
          <w:trHeight w:val="584"/>
        </w:trPr>
        <w:tc>
          <w:tcPr>
            <w:tcW w:w="979" w:type="dxa"/>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b/>
                <w:bCs/>
                <w:color w:val="FFFFFF" w:themeColor="background1"/>
                <w:sz w:val="16"/>
                <w:szCs w:val="16"/>
              </w:rPr>
            </w:pPr>
            <w:r>
              <w:rPr>
                <w:rFonts w:ascii="微软雅黑" w:eastAsia="微软雅黑" w:hAnsi="微软雅黑" w:hint="eastAsia"/>
                <w:b/>
                <w:bCs/>
                <w:color w:val="FFFFFF" w:themeColor="background1"/>
                <w:sz w:val="16"/>
                <w:szCs w:val="16"/>
              </w:rPr>
              <w:t>地方</w:t>
            </w:r>
          </w:p>
        </w:tc>
        <w:tc>
          <w:tcPr>
            <w:tcW w:w="1045" w:type="dxa"/>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b/>
                <w:bCs/>
                <w:color w:val="FFFFFF" w:themeColor="background1"/>
                <w:sz w:val="16"/>
                <w:szCs w:val="16"/>
              </w:rPr>
            </w:pPr>
            <w:r>
              <w:rPr>
                <w:rFonts w:ascii="微软雅黑" w:eastAsia="微软雅黑" w:hAnsi="微软雅黑" w:hint="eastAsia"/>
                <w:b/>
                <w:bCs/>
                <w:color w:val="FFFFFF" w:themeColor="background1"/>
                <w:sz w:val="16"/>
                <w:szCs w:val="16"/>
              </w:rPr>
              <w:t>时间</w:t>
            </w:r>
          </w:p>
        </w:tc>
        <w:tc>
          <w:tcPr>
            <w:tcW w:w="6330" w:type="dxa"/>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b/>
                <w:bCs/>
                <w:color w:val="FFFFFF" w:themeColor="background1"/>
                <w:sz w:val="16"/>
                <w:szCs w:val="16"/>
              </w:rPr>
            </w:pPr>
            <w:r>
              <w:rPr>
                <w:rFonts w:ascii="微软雅黑" w:eastAsia="微软雅黑" w:hAnsi="微软雅黑" w:hint="eastAsia"/>
                <w:b/>
                <w:bCs/>
                <w:color w:val="FFFFFF" w:themeColor="background1"/>
                <w:sz w:val="16"/>
                <w:szCs w:val="16"/>
              </w:rPr>
              <w:t>相关政策</w:t>
            </w:r>
          </w:p>
        </w:tc>
      </w:tr>
      <w:tr w:rsidR="00F836E4">
        <w:trPr>
          <w:trHeight w:val="584"/>
        </w:trPr>
        <w:tc>
          <w:tcPr>
            <w:tcW w:w="979" w:type="dxa"/>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广东省</w:t>
            </w:r>
          </w:p>
        </w:tc>
        <w:tc>
          <w:tcPr>
            <w:tcW w:w="1045" w:type="dxa"/>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02/01</w:t>
            </w:r>
          </w:p>
        </w:tc>
        <w:tc>
          <w:tcPr>
            <w:tcW w:w="6330" w:type="dxa"/>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“税务十条”最大限度支持企业抗击疫情</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湖北省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02/02</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省人民政府办公厅关于印发湖北省防控新型冠状病毒感染肺炎疫情财税支持政策的通知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江苏省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02/03</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国家税务总局江苏省税务局关于主动作为精准施策切实帮助企业解决实际困难坚决打赢疫情防控阻击战的通知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lastRenderedPageBreak/>
              <w:t>北京市</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02/03</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关于进一步支持大号新型冠状病毒感染的肺炎疫情防控主机站若干措施</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河北省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02/04</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关于打好新型冠状病毒感染的肺炎疫情防控阻击</w:t>
            </w:r>
            <w:proofErr w:type="gramStart"/>
            <w:r>
              <w:rPr>
                <w:rFonts w:ascii="微软雅黑" w:eastAsia="微软雅黑" w:hAnsi="微软雅黑" w:hint="eastAsia"/>
                <w:sz w:val="16"/>
                <w:szCs w:val="16"/>
              </w:rPr>
              <w:t>成促进</w:t>
            </w:r>
            <w:proofErr w:type="gramEnd"/>
            <w:r>
              <w:rPr>
                <w:rFonts w:ascii="微软雅黑" w:eastAsia="微软雅黑" w:hAnsi="微软雅黑" w:hint="eastAsia"/>
                <w:sz w:val="16"/>
                <w:szCs w:val="16"/>
              </w:rPr>
              <w:t>经济社会平稳健康发展的若干措施</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重庆市</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02/04</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关于应对新型冠状病毒感染的肺炎疫情支持中小企业共渡难关二十条政策措施的通知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江西省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02/04</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关于有效应对疫情稳定经济增长</w:t>
            </w:r>
            <w:r>
              <w:rPr>
                <w:rFonts w:ascii="微软雅黑" w:eastAsia="微软雅黑" w:hAnsi="微软雅黑"/>
                <w:sz w:val="16"/>
                <w:szCs w:val="16"/>
              </w:rPr>
              <w:t>20</w:t>
            </w:r>
            <w:r>
              <w:rPr>
                <w:rFonts w:ascii="微软雅黑" w:eastAsia="微软雅黑" w:hAnsi="微软雅黑"/>
                <w:sz w:val="16"/>
                <w:szCs w:val="16"/>
              </w:rPr>
              <w:t>条政策措施的通知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山东省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02/04</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关于应对新型冠状病毒感染肺炎疫情支持中小企业平稳健康发展的若干意见</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黑龙江省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02/05</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省政府办公厅关于应对新型冠状病毒感染的肺炎疫情支持中小企业健康发展的政策意见</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四川省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02/05</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关于应对新型冠状病毒肺炎疫情缓解中小企业生产经营困难的政策措施</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海南省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02/05</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海南省应对新型冠状病毒感染的肺炎疫情支持中小企业共渡难关八条措施的通知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北京市</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02/05</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关于应对新型冠状病毒感染的肺炎疫情影响促进中小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持续健康发展的若干措施</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辽宁省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02/05</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辽宁省应对新型冠状病毒感染的肺炎疫情支持中小企业生产经营若干政策措施的通知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浙江省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02/05</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浙江省新型冠状病毒感染的肺炎疫情防控领导小组关于支持小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渡过难关的意见</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山西省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02/06</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关于印发山西省应对疫情支持中小企业共渡难关若干措施的通知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广西壮族自治区</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02/07</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关于支持打赢疫情防控阻击战促进经济平稳运行若干措施的通知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内蒙古自治区</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02/07</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关于支持防控疫情重点保障企业和受疫情影响生产经营困难中小企业健康发展政策措施的通知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上海市</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02/07</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关于印发上海市全力防控疫情支持服务企业平稳健康发展若干政策措施的通知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吉林省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02/07</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关于应对新型冠状病毒感染的肺炎疫情支持中小企业</w:t>
            </w:r>
            <w:proofErr w:type="gramStart"/>
            <w:r>
              <w:rPr>
                <w:rFonts w:ascii="微软雅黑" w:eastAsia="微软雅黑" w:hAnsi="微软雅黑" w:hint="eastAsia"/>
                <w:sz w:val="16"/>
                <w:szCs w:val="16"/>
              </w:rPr>
              <w:t>保经营稳</w:t>
            </w:r>
            <w:proofErr w:type="gramEnd"/>
            <w:r>
              <w:rPr>
                <w:rFonts w:ascii="微软雅黑" w:eastAsia="微软雅黑" w:hAnsi="微软雅黑" w:hint="eastAsia"/>
                <w:sz w:val="16"/>
                <w:szCs w:val="16"/>
              </w:rPr>
              <w:t>发展若干措施的通知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吉林省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02/07</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关于进一步支持打好新型冠状病毒感染的肺炎疫情防控阻击战若干措施的通知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北京市</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02/07</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关于应对疫情影响支持中小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稳定就业岗位有关问题的通知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lastRenderedPageBreak/>
              <w:t>湖北省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02/08</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关于印发应对新型冠状病毒肺炎疫情支持中小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共渡难关有关政策措施的通知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宁夏回族自治区</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02/09</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关于应对新型冠状病毒肺炎疫情影响促进中小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健康发展的若干措施的通知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安徽省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02/09</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关于应对新型冠状病毒肺炎疫情支持中小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平稳健康发展的若干措施</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江西省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02/09</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关于金融支持防控疫情稳定经济增长若干措施的通知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陕西省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02/10</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关于坚决打赢疫情防控阻击战促进经济平稳健康发展的意见</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青海省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02/11</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应对新冠肺炎疫情支持中小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发展和推动重大项目开复工的政策措施</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江苏省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02/12</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关于支持中小企业缓解新型冠状病毒肺炎疫情影响保持平稳健康发展政策措施的通知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云南省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02/12</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关于应对新冠肺炎疫情稳定经济运行</w:t>
            </w:r>
            <w:r>
              <w:rPr>
                <w:rFonts w:ascii="微软雅黑" w:eastAsia="微软雅黑" w:hAnsi="微软雅黑"/>
                <w:sz w:val="16"/>
                <w:szCs w:val="16"/>
              </w:rPr>
              <w:t>22</w:t>
            </w:r>
            <w:r>
              <w:rPr>
                <w:rFonts w:ascii="微软雅黑" w:eastAsia="微软雅黑" w:hAnsi="微软雅黑"/>
                <w:sz w:val="16"/>
                <w:szCs w:val="16"/>
              </w:rPr>
              <w:t>条措施的意见</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北京市</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02/13</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关于落实进一步支持打好新型冠状病毒感染的肺炎疫情防控阻击战及应对疫情影响促进中小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持续健康发展的若干措施的实施细则</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甘肃省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02/14</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关于应对新冠肺炎疫情支持中小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平稳健康发展的若干措施的通知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北京市</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02/14</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关于强化疫情防控重点保障企业资金支持的紧急通知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河南省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02/14</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关于印发河南省应对疫情影响支持中小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平稳健康发展若干政策措施的通知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陕西省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02/16</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关于印发应对新冠肺炎疫情支持中小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稳定健康发展若干措施的通知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湖南省</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02/18</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关于印发《应对新冠肺炎疫情影响促进企业健康发展的若干政策措施》的通知</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贵州省</w:t>
            </w:r>
          </w:p>
        </w:tc>
        <w:tc>
          <w:tcPr>
            <w:tcW w:w="1045"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02/21</w:t>
            </w:r>
          </w:p>
        </w:tc>
        <w:tc>
          <w:tcPr>
            <w:tcW w:w="6330" w:type="dxa"/>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扶持企业复工复产促进农民工返岗就业政策二十四条</w:t>
            </w:r>
          </w:p>
        </w:tc>
      </w:tr>
      <w:tr w:rsidR="00F836E4">
        <w:trPr>
          <w:trHeight w:val="584"/>
        </w:trPr>
        <w:tc>
          <w:tcPr>
            <w:tcW w:w="979"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新疆维吾尔自治区</w:t>
            </w:r>
          </w:p>
        </w:tc>
        <w:tc>
          <w:tcPr>
            <w:tcW w:w="1045"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rsidP="00265091">
            <w:pPr>
              <w:adjustRightInd w:val="0"/>
              <w:snapToGrid w:val="0"/>
              <w:ind w:firstLineChars="83" w:firstLine="133"/>
              <w:jc w:val="center"/>
              <w:rPr>
                <w:rFonts w:ascii="微软雅黑" w:eastAsia="微软雅黑" w:hAnsi="微软雅黑"/>
                <w:sz w:val="16"/>
                <w:szCs w:val="16"/>
              </w:rPr>
            </w:pPr>
            <w:r>
              <w:rPr>
                <w:rFonts w:ascii="微软雅黑" w:eastAsia="微软雅黑" w:hAnsi="微软雅黑" w:hint="eastAsia"/>
                <w:sz w:val="16"/>
                <w:szCs w:val="16"/>
              </w:rPr>
              <w:t>02/25</w:t>
            </w:r>
          </w:p>
        </w:tc>
        <w:tc>
          <w:tcPr>
            <w:tcW w:w="6330" w:type="dxa"/>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关于应对新冠肺炎疫情支持中小</w:t>
            </w:r>
            <w:proofErr w:type="gramStart"/>
            <w:r>
              <w:rPr>
                <w:rFonts w:ascii="微软雅黑" w:eastAsia="微软雅黑" w:hAnsi="微软雅黑" w:hint="eastAsia"/>
                <w:sz w:val="16"/>
                <w:szCs w:val="16"/>
              </w:rPr>
              <w:t>微企业</w:t>
            </w:r>
            <w:proofErr w:type="gramEnd"/>
            <w:r>
              <w:rPr>
                <w:rFonts w:ascii="微软雅黑" w:eastAsia="微软雅黑" w:hAnsi="微软雅黑" w:hint="eastAsia"/>
                <w:sz w:val="16"/>
                <w:szCs w:val="16"/>
              </w:rPr>
              <w:t>复工复产健康发展的十六条措施的通知</w:t>
            </w:r>
          </w:p>
        </w:tc>
      </w:tr>
    </w:tbl>
    <w:p w:rsidR="00F836E4" w:rsidRDefault="00F836E4">
      <w:pPr>
        <w:spacing w:after="156"/>
        <w:ind w:firstLine="480"/>
      </w:pPr>
    </w:p>
    <w:p w:rsidR="00F836E4" w:rsidRDefault="00F836E4">
      <w:pPr>
        <w:spacing w:after="156"/>
        <w:outlineLvl w:val="0"/>
        <w:rPr>
          <w:rFonts w:ascii="微软雅黑" w:eastAsia="微软雅黑" w:hAnsi="微软雅黑"/>
          <w:b/>
          <w:bCs/>
          <w:color w:val="0070C0"/>
          <w:sz w:val="28"/>
          <w:szCs w:val="28"/>
        </w:rPr>
        <w:sectPr w:rsidR="00F836E4">
          <w:pgSz w:w="11906" w:h="16838"/>
          <w:pgMar w:top="1440" w:right="1800" w:bottom="1440" w:left="1800" w:header="851" w:footer="992" w:gutter="0"/>
          <w:cols w:space="425"/>
          <w:docGrid w:type="lines" w:linePitch="312"/>
        </w:sectPr>
      </w:pP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lastRenderedPageBreak/>
        <w:t>【行业政策】</w:t>
      </w:r>
    </w:p>
    <w:p w:rsidR="00F836E4" w:rsidRDefault="00B228FD">
      <w:pPr>
        <w:spacing w:after="120" w:line="300" w:lineRule="auto"/>
        <w:ind w:firstLineChars="200" w:firstLine="480"/>
      </w:pPr>
      <w:r>
        <w:rPr>
          <w:rFonts w:hint="eastAsia"/>
        </w:rPr>
        <w:t>当前行业发展的主管部门也在陆续发布相关政策以应对疫情影响，各地建委也陆续发布文件明确防疫期间的关于文件审批以及招投标的相关应对策略。</w:t>
      </w:r>
    </w:p>
    <w:p w:rsidR="00F836E4" w:rsidRDefault="00B228FD">
      <w:pPr>
        <w:pStyle w:val="a3"/>
        <w:jc w:val="center"/>
      </w:pPr>
      <w:r>
        <w:t>表</w:t>
      </w:r>
      <w:r>
        <w:t xml:space="preserve"> </w:t>
      </w:r>
      <w:r>
        <w:fldChar w:fldCharType="begin"/>
      </w:r>
      <w:r>
        <w:instrText xml:space="preserve"> SEQ </w:instrText>
      </w:r>
      <w:r>
        <w:instrText>表</w:instrText>
      </w:r>
      <w:r>
        <w:instrText xml:space="preserve"> \* ARABIC </w:instrText>
      </w:r>
      <w:r>
        <w:fldChar w:fldCharType="separate"/>
      </w:r>
      <w:r>
        <w:t>3</w:t>
      </w:r>
      <w:r>
        <w:fldChar w:fldCharType="end"/>
      </w:r>
      <w:r>
        <w:rPr>
          <w:rFonts w:hint="eastAsia"/>
        </w:rPr>
        <w:t>：各级主管部门关于疫情防控相关政策</w:t>
      </w:r>
    </w:p>
    <w:tbl>
      <w:tblPr>
        <w:tblW w:w="5000" w:type="pct"/>
        <w:tblCellMar>
          <w:left w:w="0" w:type="dxa"/>
          <w:right w:w="0" w:type="dxa"/>
        </w:tblCellMar>
        <w:tblLook w:val="04A0" w:firstRow="1" w:lastRow="0" w:firstColumn="1" w:lastColumn="0" w:noHBand="0" w:noVBand="1"/>
      </w:tblPr>
      <w:tblGrid>
        <w:gridCol w:w="1166"/>
        <w:gridCol w:w="1272"/>
        <w:gridCol w:w="1873"/>
        <w:gridCol w:w="4283"/>
      </w:tblGrid>
      <w:tr w:rsidR="00F836E4">
        <w:trPr>
          <w:trHeight w:val="632"/>
        </w:trPr>
        <w:tc>
          <w:tcPr>
            <w:tcW w:w="678" w:type="pct"/>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b/>
                <w:bCs/>
                <w:color w:val="FFFFFF" w:themeColor="background1"/>
                <w:sz w:val="16"/>
                <w:szCs w:val="16"/>
              </w:rPr>
            </w:pPr>
            <w:r>
              <w:rPr>
                <w:rFonts w:ascii="微软雅黑" w:eastAsia="微软雅黑" w:hAnsi="微软雅黑" w:hint="eastAsia"/>
                <w:b/>
                <w:bCs/>
                <w:color w:val="FFFFFF" w:themeColor="background1"/>
                <w:sz w:val="16"/>
                <w:szCs w:val="16"/>
              </w:rPr>
              <w:t>时间</w:t>
            </w:r>
          </w:p>
        </w:tc>
        <w:tc>
          <w:tcPr>
            <w:tcW w:w="740" w:type="pct"/>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b/>
                <w:bCs/>
                <w:color w:val="FFFFFF" w:themeColor="background1"/>
                <w:sz w:val="16"/>
                <w:szCs w:val="16"/>
              </w:rPr>
            </w:pPr>
            <w:r>
              <w:rPr>
                <w:rFonts w:ascii="微软雅黑" w:eastAsia="微软雅黑" w:hAnsi="微软雅黑" w:hint="eastAsia"/>
                <w:b/>
                <w:bCs/>
                <w:color w:val="FFFFFF" w:themeColor="background1"/>
                <w:sz w:val="16"/>
                <w:szCs w:val="16"/>
              </w:rPr>
              <w:t>部门</w:t>
            </w:r>
          </w:p>
        </w:tc>
        <w:tc>
          <w:tcPr>
            <w:tcW w:w="1090" w:type="pct"/>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b/>
                <w:bCs/>
                <w:color w:val="FFFFFF" w:themeColor="background1"/>
                <w:sz w:val="16"/>
                <w:szCs w:val="16"/>
              </w:rPr>
            </w:pPr>
            <w:r>
              <w:rPr>
                <w:rFonts w:ascii="微软雅黑" w:eastAsia="微软雅黑" w:hAnsi="微软雅黑" w:hint="eastAsia"/>
                <w:b/>
                <w:bCs/>
                <w:color w:val="FFFFFF" w:themeColor="background1"/>
                <w:sz w:val="16"/>
                <w:szCs w:val="16"/>
              </w:rPr>
              <w:t>政策文件</w:t>
            </w:r>
          </w:p>
        </w:tc>
        <w:tc>
          <w:tcPr>
            <w:tcW w:w="2492" w:type="pct"/>
            <w:tcBorders>
              <w:top w:val="single" w:sz="8" w:space="0" w:color="FFFFFF"/>
              <w:left w:val="single" w:sz="8" w:space="0" w:color="FFFFFF"/>
              <w:bottom w:val="single" w:sz="24" w:space="0" w:color="FFFFFF"/>
              <w:right w:val="single" w:sz="8" w:space="0" w:color="FFFFFF"/>
            </w:tcBorders>
            <w:shd w:val="clear" w:color="auto" w:fill="407434"/>
            <w:tcMar>
              <w:top w:w="72" w:type="dxa"/>
              <w:left w:w="144" w:type="dxa"/>
              <w:bottom w:w="72" w:type="dxa"/>
              <w:right w:w="144" w:type="dxa"/>
            </w:tcMar>
            <w:vAlign w:val="center"/>
          </w:tcPr>
          <w:p w:rsidR="00F836E4" w:rsidRDefault="00B228FD">
            <w:pPr>
              <w:jc w:val="center"/>
              <w:rPr>
                <w:rFonts w:ascii="微软雅黑" w:eastAsia="微软雅黑" w:hAnsi="微软雅黑"/>
                <w:b/>
                <w:bCs/>
                <w:color w:val="FFFFFF" w:themeColor="background1"/>
                <w:sz w:val="16"/>
                <w:szCs w:val="16"/>
              </w:rPr>
            </w:pPr>
            <w:r>
              <w:rPr>
                <w:rFonts w:ascii="微软雅黑" w:eastAsia="微软雅黑" w:hAnsi="微软雅黑" w:hint="eastAsia"/>
                <w:b/>
                <w:bCs/>
                <w:color w:val="FFFFFF" w:themeColor="background1"/>
                <w:sz w:val="16"/>
                <w:szCs w:val="16"/>
              </w:rPr>
              <w:t>主要要点</w:t>
            </w:r>
          </w:p>
        </w:tc>
      </w:tr>
      <w:tr w:rsidR="00F836E4">
        <w:trPr>
          <w:trHeight w:val="1340"/>
        </w:trPr>
        <w:tc>
          <w:tcPr>
            <w:tcW w:w="678" w:type="pct"/>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02/08</w:t>
            </w:r>
          </w:p>
        </w:tc>
        <w:tc>
          <w:tcPr>
            <w:tcW w:w="740" w:type="pct"/>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proofErr w:type="gramStart"/>
            <w:r>
              <w:rPr>
                <w:rFonts w:ascii="微软雅黑" w:eastAsia="微软雅黑" w:hAnsi="微软雅黑" w:hint="eastAsia"/>
                <w:sz w:val="16"/>
                <w:szCs w:val="16"/>
              </w:rPr>
              <w:t>发改委</w:t>
            </w:r>
            <w:proofErr w:type="gramEnd"/>
          </w:p>
        </w:tc>
        <w:tc>
          <w:tcPr>
            <w:tcW w:w="1090" w:type="pct"/>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《关于加强投资项目远程审批服务</w:t>
            </w:r>
            <w:r>
              <w:rPr>
                <w:rFonts w:ascii="微软雅黑" w:eastAsia="微软雅黑" w:hAnsi="微软雅黑" w:hint="eastAsia"/>
                <w:sz w:val="16"/>
                <w:szCs w:val="16"/>
              </w:rPr>
              <w:t xml:space="preserve"> </w:t>
            </w:r>
            <w:r>
              <w:rPr>
                <w:rFonts w:ascii="微软雅黑" w:eastAsia="微软雅黑" w:hAnsi="微软雅黑" w:hint="eastAsia"/>
                <w:sz w:val="16"/>
                <w:szCs w:val="16"/>
              </w:rPr>
              <w:t>保障新型冠状病毒感染肺炎疫情防控期间项目办理工作的通知》</w:t>
            </w:r>
          </w:p>
        </w:tc>
        <w:tc>
          <w:tcPr>
            <w:tcW w:w="2492" w:type="pct"/>
            <w:tcBorders>
              <w:top w:val="single" w:sz="24"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both"/>
              <w:rPr>
                <w:rFonts w:ascii="微软雅黑" w:eastAsia="微软雅黑" w:hAnsi="微软雅黑"/>
                <w:sz w:val="16"/>
                <w:szCs w:val="16"/>
              </w:rPr>
            </w:pPr>
            <w:r>
              <w:rPr>
                <w:rFonts w:ascii="微软雅黑" w:eastAsia="微软雅黑" w:hAnsi="微软雅黑" w:hint="eastAsia"/>
                <w:sz w:val="16"/>
                <w:szCs w:val="16"/>
              </w:rPr>
              <w:t>对实行备案制的投资项目，要严格执行告知性备案制度，一律通过全国投资项目</w:t>
            </w:r>
            <w:proofErr w:type="gramStart"/>
            <w:r>
              <w:rPr>
                <w:rFonts w:ascii="微软雅黑" w:eastAsia="微软雅黑" w:hAnsi="微软雅黑" w:hint="eastAsia"/>
                <w:sz w:val="16"/>
                <w:szCs w:val="16"/>
              </w:rPr>
              <w:t>在线审批</w:t>
            </w:r>
            <w:proofErr w:type="gramEnd"/>
            <w:r>
              <w:rPr>
                <w:rFonts w:ascii="微软雅黑" w:eastAsia="微软雅黑" w:hAnsi="微软雅黑" w:hint="eastAsia"/>
                <w:sz w:val="16"/>
                <w:szCs w:val="16"/>
              </w:rPr>
              <w:t>监管平台（以下简称在线平台）实行网上备案。</w:t>
            </w:r>
          </w:p>
          <w:p w:rsidR="00F836E4" w:rsidRDefault="00B228FD">
            <w:pPr>
              <w:adjustRightInd w:val="0"/>
              <w:snapToGrid w:val="0"/>
              <w:jc w:val="both"/>
              <w:rPr>
                <w:rFonts w:ascii="微软雅黑" w:eastAsia="微软雅黑" w:hAnsi="微软雅黑"/>
                <w:sz w:val="16"/>
                <w:szCs w:val="16"/>
              </w:rPr>
            </w:pPr>
            <w:r>
              <w:rPr>
                <w:rFonts w:ascii="微软雅黑" w:eastAsia="微软雅黑" w:hAnsi="微软雅黑" w:hint="eastAsia"/>
                <w:sz w:val="16"/>
                <w:szCs w:val="16"/>
              </w:rPr>
              <w:t>对实行审批制、核准制的投资项目，相关省级发展改革委要完善、畅通在线平台互联网</w:t>
            </w:r>
            <w:proofErr w:type="gramStart"/>
            <w:r>
              <w:rPr>
                <w:rFonts w:ascii="微软雅黑" w:eastAsia="微软雅黑" w:hAnsi="微软雅黑" w:hint="eastAsia"/>
                <w:sz w:val="16"/>
                <w:szCs w:val="16"/>
              </w:rPr>
              <w:t>端项目</w:t>
            </w:r>
            <w:proofErr w:type="gramEnd"/>
            <w:r>
              <w:rPr>
                <w:rFonts w:ascii="微软雅黑" w:eastAsia="微软雅黑" w:hAnsi="微软雅黑" w:hint="eastAsia"/>
                <w:sz w:val="16"/>
                <w:szCs w:val="16"/>
              </w:rPr>
              <w:t>申报、进度查询功能，指导项目单位上传电子材料、实行远程审批。</w:t>
            </w:r>
          </w:p>
        </w:tc>
      </w:tr>
      <w:tr w:rsidR="00F836E4">
        <w:trPr>
          <w:trHeight w:val="1141"/>
        </w:trPr>
        <w:tc>
          <w:tcPr>
            <w:tcW w:w="678"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02/08</w:t>
            </w:r>
          </w:p>
        </w:tc>
        <w:tc>
          <w:tcPr>
            <w:tcW w:w="740"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国家卫建委、住建部</w:t>
            </w:r>
          </w:p>
        </w:tc>
        <w:tc>
          <w:tcPr>
            <w:tcW w:w="1090"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《新型冠状病毒肺炎应急救治设施设计导则（试行）》</w:t>
            </w:r>
          </w:p>
        </w:tc>
        <w:tc>
          <w:tcPr>
            <w:tcW w:w="2492"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both"/>
              <w:rPr>
                <w:rFonts w:ascii="微软雅黑" w:eastAsia="微软雅黑" w:hAnsi="微软雅黑"/>
                <w:sz w:val="16"/>
                <w:szCs w:val="16"/>
              </w:rPr>
            </w:pPr>
            <w:r>
              <w:rPr>
                <w:rFonts w:ascii="微软雅黑" w:eastAsia="微软雅黑" w:hAnsi="微软雅黑" w:hint="eastAsia"/>
                <w:sz w:val="16"/>
                <w:szCs w:val="16"/>
              </w:rPr>
              <w:t>适用于集中收治新型冠状病毒肺炎患者的医疗机构或临时建筑的改建、扩建和新建工程项目，明确了相关工程项目的建设原则、选址、建筑设计、结构、给水排水、采暖通风及空调、电气及智能化、医用气体和运行维护等多方面要求，提出了负压病房改造参考方案，并收集汇总了医疗类建筑相关主要建设标准目录。</w:t>
            </w:r>
          </w:p>
        </w:tc>
      </w:tr>
      <w:tr w:rsidR="00F836E4">
        <w:trPr>
          <w:trHeight w:val="1141"/>
        </w:trPr>
        <w:tc>
          <w:tcPr>
            <w:tcW w:w="678"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02/08</w:t>
            </w:r>
          </w:p>
        </w:tc>
        <w:tc>
          <w:tcPr>
            <w:tcW w:w="740"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交通运输部</w:t>
            </w:r>
          </w:p>
        </w:tc>
        <w:tc>
          <w:tcPr>
            <w:tcW w:w="1090"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关于贯彻落</w:t>
            </w:r>
            <w:proofErr w:type="gramStart"/>
            <w:r>
              <w:rPr>
                <w:rFonts w:ascii="微软雅黑" w:eastAsia="微软雅黑" w:hAnsi="微软雅黑" w:hint="eastAsia"/>
                <w:sz w:val="16"/>
                <w:szCs w:val="16"/>
              </w:rPr>
              <w:t>实习近</w:t>
            </w:r>
            <w:proofErr w:type="gramEnd"/>
            <w:r>
              <w:rPr>
                <w:rFonts w:ascii="微软雅黑" w:eastAsia="微软雅黑" w:hAnsi="微软雅黑" w:hint="eastAsia"/>
                <w:sz w:val="16"/>
                <w:szCs w:val="16"/>
              </w:rPr>
              <w:t>平总书记重要指示精神统筹做好疫情防控加快公路水运工程复工开工建设加大交通投资力度的通知</w:t>
            </w:r>
          </w:p>
        </w:tc>
        <w:tc>
          <w:tcPr>
            <w:tcW w:w="2492"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both"/>
              <w:rPr>
                <w:rFonts w:ascii="微软雅黑" w:eastAsia="微软雅黑" w:hAnsi="微软雅黑"/>
                <w:sz w:val="16"/>
                <w:szCs w:val="16"/>
              </w:rPr>
            </w:pPr>
            <w:r>
              <w:rPr>
                <w:rFonts w:ascii="微软雅黑" w:eastAsia="微软雅黑" w:hAnsi="微软雅黑" w:hint="eastAsia"/>
                <w:sz w:val="16"/>
                <w:szCs w:val="16"/>
              </w:rPr>
              <w:t>优先保障重点项目、控制性工程，优先保障当年完工项目，优先保障交通扶贫脱贫攻坚项目。</w:t>
            </w:r>
          </w:p>
        </w:tc>
      </w:tr>
      <w:tr w:rsidR="00F836E4">
        <w:trPr>
          <w:trHeight w:val="1174"/>
        </w:trPr>
        <w:tc>
          <w:tcPr>
            <w:tcW w:w="678"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02/10</w:t>
            </w:r>
          </w:p>
        </w:tc>
        <w:tc>
          <w:tcPr>
            <w:tcW w:w="740"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工信部</w:t>
            </w:r>
          </w:p>
        </w:tc>
        <w:tc>
          <w:tcPr>
            <w:tcW w:w="1090"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关于应对新型冠状病毒肺炎疫情帮助中小企业复工复产共渡难关有关工作的通知</w:t>
            </w:r>
          </w:p>
        </w:tc>
        <w:tc>
          <w:tcPr>
            <w:tcW w:w="2492" w:type="pct"/>
            <w:tcBorders>
              <w:top w:val="single" w:sz="8" w:space="0" w:color="FFFFFF"/>
              <w:left w:val="single" w:sz="8" w:space="0" w:color="FFFFFF"/>
              <w:bottom w:val="single" w:sz="8" w:space="0" w:color="FFFFFF"/>
              <w:right w:val="single" w:sz="8" w:space="0" w:color="FFFFFF"/>
            </w:tcBorders>
            <w:shd w:val="clear" w:color="auto" w:fill="E8ECE8"/>
            <w:tcMar>
              <w:top w:w="72" w:type="dxa"/>
              <w:left w:w="144" w:type="dxa"/>
              <w:bottom w:w="72" w:type="dxa"/>
              <w:right w:w="144" w:type="dxa"/>
            </w:tcMar>
            <w:vAlign w:val="center"/>
          </w:tcPr>
          <w:p w:rsidR="00F836E4" w:rsidRDefault="00B228FD">
            <w:pPr>
              <w:adjustRightInd w:val="0"/>
              <w:snapToGrid w:val="0"/>
              <w:jc w:val="both"/>
              <w:rPr>
                <w:rFonts w:ascii="微软雅黑" w:eastAsia="微软雅黑" w:hAnsi="微软雅黑"/>
                <w:sz w:val="16"/>
                <w:szCs w:val="16"/>
              </w:rPr>
            </w:pPr>
            <w:r>
              <w:rPr>
                <w:rFonts w:ascii="微软雅黑" w:eastAsia="微软雅黑" w:hAnsi="微软雅黑" w:hint="eastAsia"/>
                <w:sz w:val="16"/>
                <w:szCs w:val="16"/>
              </w:rPr>
              <w:t>全力保障企业有序复工复产；进一步加强对中小企业的财政扶持、金融扶持、创新支持和公共服务；进一步加强统筹协调，减少中小企业损失</w:t>
            </w:r>
          </w:p>
        </w:tc>
      </w:tr>
      <w:tr w:rsidR="00F836E4">
        <w:trPr>
          <w:trHeight w:val="1174"/>
        </w:trPr>
        <w:tc>
          <w:tcPr>
            <w:tcW w:w="678"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center"/>
              <w:rPr>
                <w:rFonts w:ascii="微软雅黑" w:eastAsia="微软雅黑" w:hAnsi="微软雅黑"/>
                <w:sz w:val="16"/>
                <w:szCs w:val="16"/>
              </w:rPr>
            </w:pPr>
            <w:r>
              <w:rPr>
                <w:rFonts w:ascii="微软雅黑" w:eastAsia="微软雅黑" w:hAnsi="微软雅黑" w:hint="eastAsia"/>
                <w:sz w:val="16"/>
                <w:szCs w:val="16"/>
              </w:rPr>
              <w:t>02/11</w:t>
            </w:r>
          </w:p>
        </w:tc>
        <w:tc>
          <w:tcPr>
            <w:tcW w:w="740"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自然资源部</w:t>
            </w:r>
          </w:p>
        </w:tc>
        <w:tc>
          <w:tcPr>
            <w:tcW w:w="1090"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rPr>
                <w:rFonts w:ascii="微软雅黑" w:eastAsia="微软雅黑" w:hAnsi="微软雅黑"/>
                <w:sz w:val="16"/>
                <w:szCs w:val="16"/>
              </w:rPr>
            </w:pPr>
            <w:r>
              <w:rPr>
                <w:rFonts w:ascii="微软雅黑" w:eastAsia="微软雅黑" w:hAnsi="微软雅黑" w:hint="eastAsia"/>
                <w:sz w:val="16"/>
                <w:szCs w:val="16"/>
              </w:rPr>
              <w:t>自然资源部办公厅关于做好疫情防控建设项目用地保障工作的通知</w:t>
            </w:r>
          </w:p>
        </w:tc>
        <w:tc>
          <w:tcPr>
            <w:tcW w:w="2492" w:type="pct"/>
            <w:tcBorders>
              <w:top w:val="single" w:sz="8" w:space="0" w:color="FFFFFF"/>
              <w:left w:val="single" w:sz="8" w:space="0" w:color="FFFFFF"/>
              <w:bottom w:val="single" w:sz="8" w:space="0" w:color="FFFFFF"/>
              <w:right w:val="single" w:sz="8" w:space="0" w:color="FFFFFF"/>
            </w:tcBorders>
            <w:shd w:val="clear" w:color="auto" w:fill="CED6CD"/>
            <w:tcMar>
              <w:top w:w="72" w:type="dxa"/>
              <w:left w:w="144" w:type="dxa"/>
              <w:bottom w:w="72" w:type="dxa"/>
              <w:right w:w="144" w:type="dxa"/>
            </w:tcMar>
            <w:vAlign w:val="center"/>
          </w:tcPr>
          <w:p w:rsidR="00F836E4" w:rsidRDefault="00B228FD">
            <w:pPr>
              <w:adjustRightInd w:val="0"/>
              <w:snapToGrid w:val="0"/>
              <w:jc w:val="both"/>
              <w:rPr>
                <w:rFonts w:ascii="微软雅黑" w:eastAsia="微软雅黑" w:hAnsi="微软雅黑"/>
                <w:sz w:val="16"/>
                <w:szCs w:val="16"/>
              </w:rPr>
            </w:pPr>
            <w:r>
              <w:rPr>
                <w:rFonts w:ascii="微软雅黑" w:eastAsia="微软雅黑" w:hAnsi="微软雅黑" w:hint="eastAsia"/>
                <w:sz w:val="16"/>
                <w:szCs w:val="16"/>
              </w:rPr>
              <w:t>支持疫情防控建设项目先行使用土地；坚持节约集约用地；保障疫情防控建设项目用地计划指标；开展网上联审等创新工作方式</w:t>
            </w:r>
          </w:p>
        </w:tc>
      </w:tr>
    </w:tbl>
    <w:p w:rsidR="00F836E4" w:rsidRDefault="00F836E4">
      <w:pPr>
        <w:spacing w:after="156"/>
      </w:pPr>
    </w:p>
    <w:p w:rsidR="00F836E4" w:rsidRDefault="00B228FD">
      <w:pPr>
        <w:pStyle w:val="a3"/>
        <w:jc w:val="center"/>
      </w:pPr>
      <w:r>
        <w:t>表</w:t>
      </w:r>
      <w:r>
        <w:rPr>
          <w:rFonts w:hint="eastAsia"/>
        </w:rPr>
        <w:t>：各省市各级主管部门关于疫情防控相关政策</w:t>
      </w:r>
    </w:p>
    <w:tbl>
      <w:tblPr>
        <w:tblW w:w="5000" w:type="pct"/>
        <w:tblLook w:val="04A0" w:firstRow="1" w:lastRow="0" w:firstColumn="1" w:lastColumn="0" w:noHBand="0" w:noVBand="1"/>
      </w:tblPr>
      <w:tblGrid>
        <w:gridCol w:w="1012"/>
        <w:gridCol w:w="1311"/>
        <w:gridCol w:w="2625"/>
        <w:gridCol w:w="3574"/>
      </w:tblGrid>
      <w:tr w:rsidR="00F836E4">
        <w:trPr>
          <w:trHeight w:val="340"/>
        </w:trPr>
        <w:tc>
          <w:tcPr>
            <w:tcW w:w="594" w:type="pct"/>
            <w:tcBorders>
              <w:top w:val="single" w:sz="8" w:space="0" w:color="FFFFFF"/>
              <w:left w:val="single" w:sz="8" w:space="0" w:color="FFFFFF"/>
              <w:bottom w:val="single" w:sz="8" w:space="0" w:color="FFFFFF"/>
              <w:right w:val="nil"/>
            </w:tcBorders>
            <w:shd w:val="clear" w:color="000000" w:fill="407434"/>
            <w:vAlign w:val="center"/>
          </w:tcPr>
          <w:p w:rsidR="00F836E4" w:rsidRDefault="00B228FD">
            <w:pPr>
              <w:jc w:val="center"/>
              <w:rPr>
                <w:rFonts w:ascii="微软雅黑" w:eastAsia="微软雅黑" w:hAnsi="微软雅黑"/>
                <w:b/>
                <w:bCs/>
                <w:color w:val="FFFFFF"/>
                <w:sz w:val="16"/>
                <w:szCs w:val="16"/>
              </w:rPr>
            </w:pPr>
            <w:r>
              <w:rPr>
                <w:rFonts w:ascii="微软雅黑" w:eastAsia="微软雅黑" w:hAnsi="微软雅黑" w:hint="eastAsia"/>
                <w:b/>
                <w:bCs/>
                <w:color w:val="FFFFFF"/>
                <w:sz w:val="16"/>
                <w:szCs w:val="16"/>
              </w:rPr>
              <w:t>时间</w:t>
            </w:r>
          </w:p>
        </w:tc>
        <w:tc>
          <w:tcPr>
            <w:tcW w:w="769" w:type="pct"/>
            <w:tcBorders>
              <w:top w:val="nil"/>
              <w:left w:val="nil"/>
              <w:bottom w:val="single" w:sz="8" w:space="0" w:color="FFFFFF"/>
              <w:right w:val="single" w:sz="8" w:space="0" w:color="FFFFFF"/>
            </w:tcBorders>
            <w:shd w:val="clear" w:color="000000" w:fill="407434"/>
            <w:vAlign w:val="center"/>
          </w:tcPr>
          <w:p w:rsidR="00F836E4" w:rsidRDefault="00B228FD">
            <w:pPr>
              <w:jc w:val="center"/>
              <w:rPr>
                <w:rFonts w:ascii="微软雅黑" w:eastAsia="微软雅黑" w:hAnsi="微软雅黑"/>
                <w:b/>
                <w:bCs/>
                <w:color w:val="FFFFFF"/>
                <w:sz w:val="16"/>
                <w:szCs w:val="16"/>
              </w:rPr>
            </w:pPr>
            <w:r>
              <w:rPr>
                <w:rFonts w:ascii="微软雅黑" w:eastAsia="微软雅黑" w:hAnsi="微软雅黑" w:hint="eastAsia"/>
                <w:b/>
                <w:bCs/>
                <w:color w:val="FFFFFF"/>
                <w:sz w:val="16"/>
                <w:szCs w:val="16"/>
              </w:rPr>
              <w:t xml:space="preserve">省市　</w:t>
            </w:r>
          </w:p>
        </w:tc>
        <w:tc>
          <w:tcPr>
            <w:tcW w:w="1540" w:type="pct"/>
            <w:tcBorders>
              <w:top w:val="nil"/>
              <w:left w:val="nil"/>
              <w:bottom w:val="single" w:sz="8" w:space="0" w:color="FFFFFF"/>
              <w:right w:val="single" w:sz="8" w:space="0" w:color="FFFFFF"/>
            </w:tcBorders>
            <w:shd w:val="clear" w:color="000000" w:fill="407434"/>
            <w:vAlign w:val="center"/>
          </w:tcPr>
          <w:p w:rsidR="00F836E4" w:rsidRDefault="00B228FD">
            <w:pPr>
              <w:jc w:val="center"/>
              <w:rPr>
                <w:rFonts w:ascii="微软雅黑" w:eastAsia="微软雅黑" w:hAnsi="微软雅黑"/>
                <w:b/>
                <w:bCs/>
                <w:color w:val="FFFFFF"/>
                <w:sz w:val="16"/>
                <w:szCs w:val="16"/>
              </w:rPr>
            </w:pPr>
            <w:r>
              <w:rPr>
                <w:rFonts w:ascii="微软雅黑" w:eastAsia="微软雅黑" w:hAnsi="微软雅黑" w:hint="eastAsia"/>
                <w:b/>
                <w:bCs/>
                <w:color w:val="FFFFFF"/>
                <w:sz w:val="16"/>
                <w:szCs w:val="16"/>
              </w:rPr>
              <w:t>政策文件</w:t>
            </w:r>
          </w:p>
        </w:tc>
        <w:tc>
          <w:tcPr>
            <w:tcW w:w="2098" w:type="pct"/>
            <w:tcBorders>
              <w:top w:val="nil"/>
              <w:left w:val="nil"/>
              <w:bottom w:val="single" w:sz="8" w:space="0" w:color="FFFFFF"/>
              <w:right w:val="single" w:sz="8" w:space="0" w:color="FFFFFF"/>
            </w:tcBorders>
            <w:shd w:val="clear" w:color="000000" w:fill="407434"/>
            <w:vAlign w:val="center"/>
          </w:tcPr>
          <w:p w:rsidR="00F836E4" w:rsidRDefault="00B228FD">
            <w:pPr>
              <w:jc w:val="center"/>
              <w:rPr>
                <w:rFonts w:ascii="微软雅黑" w:eastAsia="微软雅黑" w:hAnsi="微软雅黑"/>
                <w:b/>
                <w:bCs/>
                <w:color w:val="FFFFFF"/>
                <w:sz w:val="16"/>
                <w:szCs w:val="16"/>
              </w:rPr>
            </w:pPr>
            <w:r>
              <w:rPr>
                <w:rFonts w:ascii="微软雅黑" w:eastAsia="微软雅黑" w:hAnsi="微软雅黑" w:hint="eastAsia"/>
                <w:b/>
                <w:bCs/>
                <w:color w:val="FFFFFF"/>
                <w:sz w:val="16"/>
                <w:szCs w:val="16"/>
              </w:rPr>
              <w:t>主要要点</w:t>
            </w:r>
          </w:p>
        </w:tc>
      </w:tr>
      <w:tr w:rsidR="00F836E4">
        <w:trPr>
          <w:trHeight w:val="50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1</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25</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住建厅《关于做好住房城乡建设系统新型冠状病毒感染的肺炎疫情防控工作的通知》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明确了对小区物业管理、环卫垃圾处理、建筑施工管控等方面进行了部署</w:t>
            </w:r>
          </w:p>
        </w:tc>
      </w:tr>
      <w:tr w:rsidR="00F836E4">
        <w:trPr>
          <w:trHeight w:val="7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lastRenderedPageBreak/>
              <w:t>1</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28</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住建厅《关于进一步加强疫情防控期间住房城乡建设领域相关工作的通知》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对疫情防控期间特别是春节假期延长期间市政公用设施保供和安全运行、疫情防控措施落实、一线作业人员安全防护以及值班值守和信息报送等工作提出明确要求。</w:t>
            </w:r>
          </w:p>
        </w:tc>
      </w:tr>
      <w:tr w:rsidR="00F836E4">
        <w:trPr>
          <w:trHeight w:val="50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重庆市</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关于临时调整市工程建设项目审批服务大厅和市住房城乡建委政务服务大厅服务方式的公告</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从</w:t>
            </w: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3</w:t>
            </w:r>
            <w:r>
              <w:rPr>
                <w:rFonts w:ascii="微软雅黑" w:eastAsia="微软雅黑" w:hAnsi="微软雅黑" w:hint="eastAsia"/>
                <w:color w:val="000000"/>
                <w:sz w:val="16"/>
                <w:szCs w:val="16"/>
              </w:rPr>
              <w:t>日到</w:t>
            </w: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16</w:t>
            </w:r>
            <w:r>
              <w:rPr>
                <w:rFonts w:ascii="微软雅黑" w:eastAsia="微软雅黑" w:hAnsi="微软雅黑" w:hint="eastAsia"/>
                <w:color w:val="000000"/>
                <w:sz w:val="16"/>
                <w:szCs w:val="16"/>
              </w:rPr>
              <w:t>日全面推行网上办理；调整线下接发件方式，采用邮寄方式交件；暂停建筑工程施工许可申请。</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北京市</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关于做好疫情防控期间招投标交易服务工作的公告</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交易信息服务平台于</w:t>
            </w: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3</w:t>
            </w:r>
            <w:r>
              <w:rPr>
                <w:rFonts w:ascii="微软雅黑" w:eastAsia="微软雅黑" w:hAnsi="微软雅黑" w:hint="eastAsia"/>
                <w:color w:val="000000"/>
                <w:sz w:val="16"/>
                <w:szCs w:val="16"/>
              </w:rPr>
              <w:t>日起开始工程项目交易服务工作，</w:t>
            </w:r>
            <w:r>
              <w:rPr>
                <w:rFonts w:ascii="微软雅黑" w:eastAsia="微软雅黑" w:hAnsi="微软雅黑" w:hint="eastAsia"/>
                <w:color w:val="000000"/>
                <w:sz w:val="16"/>
                <w:szCs w:val="16"/>
              </w:rPr>
              <w:t>7</w:t>
            </w:r>
            <w:r>
              <w:rPr>
                <w:rFonts w:ascii="微软雅黑" w:eastAsia="微软雅黑" w:hAnsi="微软雅黑" w:hint="eastAsia"/>
                <w:color w:val="000000"/>
                <w:sz w:val="16"/>
                <w:szCs w:val="16"/>
              </w:rPr>
              <w:t>×</w:t>
            </w:r>
            <w:r>
              <w:rPr>
                <w:rFonts w:ascii="微软雅黑" w:eastAsia="微软雅黑" w:hAnsi="微软雅黑" w:hint="eastAsia"/>
                <w:color w:val="000000"/>
                <w:sz w:val="16"/>
                <w:szCs w:val="16"/>
              </w:rPr>
              <w:t>24</w:t>
            </w:r>
            <w:r>
              <w:rPr>
                <w:rFonts w:ascii="微软雅黑" w:eastAsia="微软雅黑" w:hAnsi="微软雅黑" w:hint="eastAsia"/>
                <w:color w:val="000000"/>
                <w:sz w:val="16"/>
                <w:szCs w:val="16"/>
              </w:rPr>
              <w:t>小时运行；交易中心以分时段错时开标、预约评标的方式进行开标评标活动；非紧急必须办理事项，建议延后办理。</w:t>
            </w:r>
          </w:p>
        </w:tc>
      </w:tr>
      <w:tr w:rsidR="00F836E4">
        <w:trPr>
          <w:trHeight w:val="7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3</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省税务局《关于主动作为精准施策</w:t>
            </w:r>
            <w:r>
              <w:rPr>
                <w:rFonts w:ascii="微软雅黑" w:eastAsia="微软雅黑" w:hAnsi="微软雅黑" w:hint="eastAsia"/>
                <w:color w:val="000000"/>
                <w:sz w:val="16"/>
                <w:szCs w:val="16"/>
              </w:rPr>
              <w:t xml:space="preserve"> </w:t>
            </w:r>
            <w:r>
              <w:rPr>
                <w:rFonts w:ascii="微软雅黑" w:eastAsia="微软雅黑" w:hAnsi="微软雅黑" w:hint="eastAsia"/>
                <w:color w:val="000000"/>
                <w:sz w:val="16"/>
                <w:szCs w:val="16"/>
              </w:rPr>
              <w:t>切实帮助企业解决实际困难打赢疫情防控阻击战的通知》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从减轻纳税人负担、帮扶中小企业、稳定重点群体创业、拓展“非接触式”服务等十二方面明确了帮扶企业度过疫情难关的相应对策</w:t>
            </w:r>
          </w:p>
        </w:tc>
      </w:tr>
      <w:tr w:rsidR="00F836E4">
        <w:trPr>
          <w:trHeight w:val="7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4</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山东省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关于做好疫情防控期间施工图设计文件报审工作的通知</w:t>
            </w:r>
            <w:proofErr w:type="gramStart"/>
            <w:r>
              <w:rPr>
                <w:rFonts w:ascii="微软雅黑" w:eastAsia="微软雅黑" w:hAnsi="微软雅黑" w:hint="eastAsia"/>
                <w:color w:val="000000"/>
                <w:sz w:val="16"/>
                <w:szCs w:val="16"/>
              </w:rPr>
              <w:t>》</w:t>
            </w:r>
            <w:proofErr w:type="gramEnd"/>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各级住房城乡建设部门和图审机构应以此次疫情防控工作为契机，积极推进数字化审查和远程服务模式，不断提高远程服务能力和信息化技术水平。</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5</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河南省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《关于做好新型冠状病毒感染肺炎疫情防控期间稳投资工作的通知》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充分发挥河南省投资项目</w:t>
            </w:r>
            <w:proofErr w:type="gramStart"/>
            <w:r>
              <w:rPr>
                <w:rFonts w:ascii="微软雅黑" w:eastAsia="微软雅黑" w:hAnsi="微软雅黑" w:hint="eastAsia"/>
                <w:color w:val="000000"/>
                <w:sz w:val="16"/>
                <w:szCs w:val="16"/>
              </w:rPr>
              <w:t>在线审批</w:t>
            </w:r>
            <w:proofErr w:type="gramEnd"/>
            <w:r>
              <w:rPr>
                <w:rFonts w:ascii="微软雅黑" w:eastAsia="微软雅黑" w:hAnsi="微软雅黑" w:hint="eastAsia"/>
                <w:color w:val="000000"/>
                <w:sz w:val="16"/>
                <w:szCs w:val="16"/>
              </w:rPr>
              <w:t>监管平台（以下简称在线平台）“一网通办”功能，全面启动“不见面”在线办理，稳定社会投资意愿。对实行备案制的投资项目，一律通过在线平台实行网上告知性备案。</w:t>
            </w:r>
          </w:p>
        </w:tc>
      </w:tr>
      <w:tr w:rsidR="00F836E4">
        <w:trPr>
          <w:trHeight w:val="7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5</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山西省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关于推行工程建设项目“不见面审批”实行网上办理的通知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各市尽快</w:t>
            </w:r>
            <w:proofErr w:type="gramStart"/>
            <w:r>
              <w:rPr>
                <w:rFonts w:ascii="微软雅黑" w:eastAsia="微软雅黑" w:hAnsi="微软雅黑" w:hint="eastAsia"/>
                <w:color w:val="000000"/>
                <w:sz w:val="16"/>
                <w:szCs w:val="16"/>
              </w:rPr>
              <w:t>完善线</w:t>
            </w:r>
            <w:proofErr w:type="gramEnd"/>
            <w:r>
              <w:rPr>
                <w:rFonts w:ascii="微软雅黑" w:eastAsia="微软雅黑" w:hAnsi="微软雅黑" w:hint="eastAsia"/>
                <w:color w:val="000000"/>
                <w:sz w:val="16"/>
                <w:szCs w:val="16"/>
              </w:rPr>
              <w:t>上办理工作制度；积极组织好项目线上申报工作；全面做好线上并联审批工作；拓展线</w:t>
            </w:r>
            <w:proofErr w:type="gramStart"/>
            <w:r>
              <w:rPr>
                <w:rFonts w:ascii="微软雅黑" w:eastAsia="微软雅黑" w:hAnsi="微软雅黑" w:hint="eastAsia"/>
                <w:color w:val="000000"/>
                <w:sz w:val="16"/>
                <w:szCs w:val="16"/>
              </w:rPr>
              <w:t>上咨询</w:t>
            </w:r>
            <w:proofErr w:type="gramEnd"/>
            <w:r>
              <w:rPr>
                <w:rFonts w:ascii="微软雅黑" w:eastAsia="微软雅黑" w:hAnsi="微软雅黑" w:hint="eastAsia"/>
                <w:color w:val="000000"/>
                <w:sz w:val="16"/>
                <w:szCs w:val="16"/>
              </w:rPr>
              <w:t>帮办服务；强化责任落实</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6</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住建厅《关于做好房屋市政工程复工疫情防控和安全生产工作的指导意见》</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《指导意见》从建立健全复工工地疫情防范控制体系、细化复工工程疫情防控和安全生产工作要求、强化复工疫情防控和安全生产监管三方面明确了疫情背景下房屋市政工程复工的各项注意事项</w:t>
            </w:r>
          </w:p>
        </w:tc>
      </w:tr>
      <w:tr w:rsidR="00F836E4">
        <w:trPr>
          <w:trHeight w:val="50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7</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湖南省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关于全面实行工程建设项目“一网通办”“不见面审批”的通知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全面组织项目建设单位线上申报；全面做好线上并联审批和审批监管工作；全面推进线上办理服务；强化责任落实。</w:t>
            </w:r>
          </w:p>
        </w:tc>
      </w:tr>
      <w:tr w:rsidR="00F836E4">
        <w:trPr>
          <w:trHeight w:val="50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8</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四川省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关于新型冠状病毒感染肺炎疫情时期做好建设项目环评审</w:t>
            </w:r>
            <w:proofErr w:type="gramStart"/>
            <w:r>
              <w:rPr>
                <w:rFonts w:ascii="微软雅黑" w:eastAsia="微软雅黑" w:hAnsi="微软雅黑" w:hint="eastAsia"/>
                <w:color w:val="000000"/>
                <w:sz w:val="16"/>
                <w:szCs w:val="16"/>
              </w:rPr>
              <w:t>批工作</w:t>
            </w:r>
            <w:proofErr w:type="gramEnd"/>
            <w:r>
              <w:rPr>
                <w:rFonts w:ascii="微软雅黑" w:eastAsia="微软雅黑" w:hAnsi="微软雅黑" w:hint="eastAsia"/>
                <w:color w:val="000000"/>
                <w:sz w:val="16"/>
                <w:szCs w:val="16"/>
              </w:rPr>
              <w:t>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对疫情防控急需</w:t>
            </w:r>
            <w:proofErr w:type="gramStart"/>
            <w:r>
              <w:rPr>
                <w:rFonts w:ascii="微软雅黑" w:eastAsia="微软雅黑" w:hAnsi="微软雅黑" w:hint="eastAsia"/>
                <w:color w:val="000000"/>
                <w:sz w:val="16"/>
                <w:szCs w:val="16"/>
              </w:rPr>
              <w:t>项目环</w:t>
            </w:r>
            <w:proofErr w:type="gramEnd"/>
            <w:r>
              <w:rPr>
                <w:rFonts w:ascii="微软雅黑" w:eastAsia="微软雅黑" w:hAnsi="微软雅黑" w:hint="eastAsia"/>
                <w:color w:val="000000"/>
                <w:sz w:val="16"/>
                <w:szCs w:val="16"/>
              </w:rPr>
              <w:t>评审批开辟“绿色通道”，最大限度做到“网上办”和“不见面”审批。</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8</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陕西省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关于进一步做好工程建设项目审批服务的通知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做好疫情防控期间</w:t>
            </w:r>
            <w:proofErr w:type="gramStart"/>
            <w:r>
              <w:rPr>
                <w:rFonts w:ascii="微软雅黑" w:eastAsia="微软雅黑" w:hAnsi="微软雅黑" w:hint="eastAsia"/>
                <w:color w:val="000000"/>
                <w:sz w:val="16"/>
                <w:szCs w:val="16"/>
              </w:rPr>
              <w:t>“</w:t>
            </w:r>
            <w:proofErr w:type="gramEnd"/>
            <w:r>
              <w:rPr>
                <w:rFonts w:ascii="微软雅黑" w:eastAsia="微软雅黑" w:hAnsi="微软雅黑" w:hint="eastAsia"/>
                <w:color w:val="000000"/>
                <w:sz w:val="16"/>
                <w:szCs w:val="16"/>
              </w:rPr>
              <w:t>不见面审批“；做好疫情防控有关项目的服务保障；健全完善配套制度的审批管理系统；实质性推进容缺审批和告知承诺制；以市场主体需求为导向持续推动深化改革。</w:t>
            </w:r>
          </w:p>
        </w:tc>
      </w:tr>
      <w:tr w:rsidR="00F836E4">
        <w:trPr>
          <w:trHeight w:val="7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10</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江西省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关于推行工程建设项目“在线申报、远程审批”实行网上办理的通知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建立疫情期间项目审批绿色通道；积极引导项目线上申报工作；全面做好远程审批工作；拓展线</w:t>
            </w:r>
            <w:proofErr w:type="gramStart"/>
            <w:r>
              <w:rPr>
                <w:rFonts w:ascii="微软雅黑" w:eastAsia="微软雅黑" w:hAnsi="微软雅黑" w:hint="eastAsia"/>
                <w:color w:val="000000"/>
                <w:sz w:val="16"/>
                <w:szCs w:val="16"/>
              </w:rPr>
              <w:lastRenderedPageBreak/>
              <w:t>上咨询</w:t>
            </w:r>
            <w:proofErr w:type="gramEnd"/>
            <w:r>
              <w:rPr>
                <w:rFonts w:ascii="微软雅黑" w:eastAsia="微软雅黑" w:hAnsi="微软雅黑" w:hint="eastAsia"/>
                <w:color w:val="000000"/>
                <w:sz w:val="16"/>
                <w:szCs w:val="16"/>
              </w:rPr>
              <w:t>帮办服务；强化责任落实。</w:t>
            </w:r>
          </w:p>
        </w:tc>
      </w:tr>
      <w:tr w:rsidR="00F836E4">
        <w:trPr>
          <w:trHeight w:val="50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lastRenderedPageBreak/>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12</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重庆市</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关于继续调整市工程建设项目审批服务大厅和市住房城乡建委政务服务大厅服务方式的公告</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内容延续第一次公告，恢复时间另行通知</w:t>
            </w:r>
          </w:p>
        </w:tc>
      </w:tr>
      <w:tr w:rsidR="00F836E4">
        <w:trPr>
          <w:trHeight w:val="146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12</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《关于应对新型冠状病毒肺炎疫情影响</w:t>
            </w:r>
            <w:r>
              <w:rPr>
                <w:rFonts w:ascii="微软雅黑" w:eastAsia="微软雅黑" w:hAnsi="微软雅黑" w:hint="eastAsia"/>
                <w:color w:val="000000"/>
                <w:sz w:val="16"/>
                <w:szCs w:val="16"/>
              </w:rPr>
              <w:t xml:space="preserve"> </w:t>
            </w:r>
            <w:r>
              <w:rPr>
                <w:rFonts w:ascii="微软雅黑" w:eastAsia="微软雅黑" w:hAnsi="微软雅黑" w:hint="eastAsia"/>
                <w:color w:val="000000"/>
                <w:sz w:val="16"/>
                <w:szCs w:val="16"/>
              </w:rPr>
              <w:t>推动经济循环畅通和稳定持续发展的若干政策措施》</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《若干政策措施》提出，将按照属地管理、法人负责、有序受控的原则，分类指导企业制定</w:t>
            </w:r>
            <w:r>
              <w:rPr>
                <w:rFonts w:ascii="微软雅黑" w:eastAsia="微软雅黑" w:hAnsi="微软雅黑" w:hint="eastAsia"/>
                <w:color w:val="000000"/>
                <w:sz w:val="16"/>
                <w:szCs w:val="16"/>
              </w:rPr>
              <w:t>"</w:t>
            </w:r>
            <w:proofErr w:type="gramStart"/>
            <w:r>
              <w:rPr>
                <w:rFonts w:ascii="微软雅黑" w:eastAsia="微软雅黑" w:hAnsi="微软雅黑" w:hint="eastAsia"/>
                <w:color w:val="000000"/>
                <w:sz w:val="16"/>
                <w:szCs w:val="16"/>
              </w:rPr>
              <w:t>一</w:t>
            </w:r>
            <w:proofErr w:type="gramEnd"/>
            <w:r>
              <w:rPr>
                <w:rFonts w:ascii="微软雅黑" w:eastAsia="微软雅黑" w:hAnsi="微软雅黑" w:hint="eastAsia"/>
                <w:color w:val="000000"/>
                <w:sz w:val="16"/>
                <w:szCs w:val="16"/>
              </w:rPr>
              <w:t>企</w:t>
            </w:r>
            <w:proofErr w:type="gramStart"/>
            <w:r>
              <w:rPr>
                <w:rFonts w:ascii="微软雅黑" w:eastAsia="微软雅黑" w:hAnsi="微软雅黑" w:hint="eastAsia"/>
                <w:color w:val="000000"/>
                <w:sz w:val="16"/>
                <w:szCs w:val="16"/>
              </w:rPr>
              <w:t>一</w:t>
            </w:r>
            <w:proofErr w:type="gramEnd"/>
            <w:r>
              <w:rPr>
                <w:rFonts w:ascii="微软雅黑" w:eastAsia="微软雅黑" w:hAnsi="微软雅黑" w:hint="eastAsia"/>
                <w:color w:val="000000"/>
                <w:sz w:val="16"/>
                <w:szCs w:val="16"/>
              </w:rPr>
              <w:t>策</w:t>
            </w:r>
            <w:r>
              <w:rPr>
                <w:rFonts w:ascii="微软雅黑" w:eastAsia="微软雅黑" w:hAnsi="微软雅黑" w:hint="eastAsia"/>
                <w:color w:val="000000"/>
                <w:sz w:val="16"/>
                <w:szCs w:val="16"/>
              </w:rPr>
              <w:t>"</w:t>
            </w:r>
            <w:r>
              <w:rPr>
                <w:rFonts w:ascii="微软雅黑" w:eastAsia="微软雅黑" w:hAnsi="微软雅黑" w:hint="eastAsia"/>
                <w:color w:val="000000"/>
                <w:sz w:val="16"/>
                <w:szCs w:val="16"/>
              </w:rPr>
              <w:t>疫情防控和复工方案。加大企业复产用工保障力度，对批发零售、住宿餐饮、物流运输、文化旅游等受疫情影响较重的服务业企业，坚持不裁员或少裁员的，可参照困难企业标准，给予</w:t>
            </w:r>
            <w:r>
              <w:rPr>
                <w:rFonts w:ascii="微软雅黑" w:eastAsia="微软雅黑" w:hAnsi="微软雅黑" w:hint="eastAsia"/>
                <w:color w:val="000000"/>
                <w:sz w:val="16"/>
                <w:szCs w:val="16"/>
              </w:rPr>
              <w:t>1-3</w:t>
            </w:r>
            <w:r>
              <w:rPr>
                <w:rFonts w:ascii="微软雅黑" w:eastAsia="微软雅黑" w:hAnsi="微软雅黑" w:hint="eastAsia"/>
                <w:color w:val="000000"/>
                <w:sz w:val="16"/>
                <w:szCs w:val="16"/>
              </w:rPr>
              <w:t>个月的失业</w:t>
            </w:r>
            <w:proofErr w:type="gramStart"/>
            <w:r>
              <w:rPr>
                <w:rFonts w:ascii="微软雅黑" w:eastAsia="微软雅黑" w:hAnsi="微软雅黑" w:hint="eastAsia"/>
                <w:color w:val="000000"/>
                <w:sz w:val="16"/>
                <w:szCs w:val="16"/>
              </w:rPr>
              <w:t>保险稳岗</w:t>
            </w:r>
            <w:proofErr w:type="gramEnd"/>
            <w:r>
              <w:rPr>
                <w:rFonts w:ascii="微软雅黑" w:eastAsia="微软雅黑" w:hAnsi="微软雅黑" w:hint="eastAsia"/>
                <w:color w:val="000000"/>
                <w:sz w:val="16"/>
                <w:szCs w:val="16"/>
              </w:rPr>
              <w:t>返还补贴。</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13</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浙江省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关于优化工程建设项目审批服务全力保障新冠肺炎疫情防控工作的通知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最大限度精简疫情防控工程建设项目审批手续；最快方式实现企业复工工程建设项目审批提速；全面推行工程建设项目“不见面”审批；全面确保审批管理系统</w:t>
            </w:r>
            <w:proofErr w:type="gramStart"/>
            <w:r>
              <w:rPr>
                <w:rFonts w:ascii="微软雅黑" w:eastAsia="微软雅黑" w:hAnsi="微软雅黑" w:hint="eastAsia"/>
                <w:color w:val="000000"/>
                <w:sz w:val="16"/>
                <w:szCs w:val="16"/>
              </w:rPr>
              <w:t>“</w:t>
            </w:r>
            <w:proofErr w:type="gramEnd"/>
            <w:r>
              <w:rPr>
                <w:rFonts w:ascii="微软雅黑" w:eastAsia="微软雅黑" w:hAnsi="微软雅黑" w:hint="eastAsia"/>
                <w:color w:val="000000"/>
                <w:sz w:val="16"/>
                <w:szCs w:val="16"/>
              </w:rPr>
              <w:t>全覆盖“应用；切实保障优化审批服务措施落地见效。</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13</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福建省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关于积极应对疫情做好招投标等工作的通知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推动公共资源交易工作正常化；对于疫情防控急需建设项目</w:t>
            </w:r>
            <w:proofErr w:type="gramStart"/>
            <w:r>
              <w:rPr>
                <w:rFonts w:ascii="微软雅黑" w:eastAsia="微软雅黑" w:hAnsi="微软雅黑" w:hint="eastAsia"/>
                <w:color w:val="000000"/>
                <w:sz w:val="16"/>
                <w:szCs w:val="16"/>
              </w:rPr>
              <w:t>特</w:t>
            </w:r>
            <w:proofErr w:type="gramEnd"/>
            <w:r>
              <w:rPr>
                <w:rFonts w:ascii="微软雅黑" w:eastAsia="微软雅黑" w:hAnsi="微软雅黑" w:hint="eastAsia"/>
                <w:color w:val="000000"/>
                <w:sz w:val="16"/>
                <w:szCs w:val="16"/>
              </w:rPr>
              <w:t>事特办；全面推行招投标等公共资源交易网上办理，允许招标人自主选择交易场所，推行远程异地评标和专家分散评标等。</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13</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市场监管局《关于应对疫情支持企业平稳健康发展的若干措施》</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《若干措施》从减轻企业负担、实施包容审慎监管、支持企业复工复产和重点项目建设、促进企业平稳健康发展、营造公平竞争市场环境等五方面部署了明确的支持企业健康发展的举措</w:t>
            </w:r>
          </w:p>
        </w:tc>
      </w:tr>
      <w:tr w:rsidR="00F836E4">
        <w:trPr>
          <w:trHeight w:val="3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13</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住建厅《关于公布第一批免费开放的线上培训资</w:t>
            </w:r>
            <w:r>
              <w:rPr>
                <w:rFonts w:ascii="微软雅黑" w:eastAsia="微软雅黑" w:hAnsi="微软雅黑" w:hint="eastAsia"/>
                <w:color w:val="000000"/>
                <w:sz w:val="16"/>
                <w:szCs w:val="16"/>
              </w:rPr>
              <w:t>源的通知》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住建厅向住</w:t>
            </w:r>
            <w:proofErr w:type="gramStart"/>
            <w:r>
              <w:rPr>
                <w:rFonts w:ascii="微软雅黑" w:eastAsia="微软雅黑" w:hAnsi="微软雅黑" w:hint="eastAsia"/>
                <w:color w:val="000000"/>
                <w:sz w:val="16"/>
                <w:szCs w:val="16"/>
              </w:rPr>
              <w:t>建领域</w:t>
            </w:r>
            <w:proofErr w:type="gramEnd"/>
            <w:r>
              <w:rPr>
                <w:rFonts w:ascii="微软雅黑" w:eastAsia="微软雅黑" w:hAnsi="微软雅黑" w:hint="eastAsia"/>
                <w:color w:val="000000"/>
                <w:sz w:val="16"/>
                <w:szCs w:val="16"/>
              </w:rPr>
              <w:t>从业人员免费提供网络课程和在线服务。</w:t>
            </w:r>
          </w:p>
        </w:tc>
      </w:tr>
      <w:tr w:rsidR="00F836E4">
        <w:trPr>
          <w:trHeight w:val="7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14</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广东省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关于加强工程建设项目</w:t>
            </w:r>
            <w:proofErr w:type="gramStart"/>
            <w:r>
              <w:rPr>
                <w:rFonts w:ascii="微软雅黑" w:eastAsia="微软雅黑" w:hAnsi="微软雅黑" w:hint="eastAsia"/>
                <w:color w:val="000000"/>
                <w:sz w:val="16"/>
                <w:szCs w:val="16"/>
              </w:rPr>
              <w:t>网上审批</w:t>
            </w:r>
            <w:proofErr w:type="gramEnd"/>
            <w:r>
              <w:rPr>
                <w:rFonts w:ascii="微软雅黑" w:eastAsia="微软雅黑" w:hAnsi="微软雅黑" w:hint="eastAsia"/>
                <w:color w:val="000000"/>
                <w:sz w:val="16"/>
                <w:szCs w:val="16"/>
              </w:rPr>
              <w:t>服务保障新冠肺炎疫情防控期间工程建设项目审批工作的函</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加快完善工程建设项目审批管理系统，做好平台互联互通；实行</w:t>
            </w:r>
            <w:proofErr w:type="gramStart"/>
            <w:r>
              <w:rPr>
                <w:rFonts w:ascii="微软雅黑" w:eastAsia="微软雅黑" w:hAnsi="微软雅黑" w:hint="eastAsia"/>
                <w:color w:val="000000"/>
                <w:sz w:val="16"/>
                <w:szCs w:val="16"/>
              </w:rPr>
              <w:t>“</w:t>
            </w:r>
            <w:proofErr w:type="gramEnd"/>
            <w:r>
              <w:rPr>
                <w:rFonts w:ascii="微软雅黑" w:eastAsia="微软雅黑" w:hAnsi="微软雅黑" w:hint="eastAsia"/>
                <w:color w:val="000000"/>
                <w:sz w:val="16"/>
                <w:szCs w:val="16"/>
              </w:rPr>
              <w:t>预约办“和鼓励”就近办“；大力实施审批告知承诺制；做好疫情防控特殊项目的服务保障。</w:t>
            </w:r>
          </w:p>
        </w:tc>
      </w:tr>
      <w:tr w:rsidR="00F836E4">
        <w:trPr>
          <w:trHeight w:val="50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14</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住建厅《关于新冠肺炎疫情影响下房屋建筑与市政基础设施工程施工合同履约及工程价款调整的指导意见》</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《指导意见》从法律法规层面明确了疫情损失、工程延期、机械损坏、赶工费用、防疫费用置出等方面的内容</w:t>
            </w:r>
          </w:p>
        </w:tc>
      </w:tr>
      <w:tr w:rsidR="00F836E4">
        <w:trPr>
          <w:trHeight w:val="50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17</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陕西省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关于在疫情防控期间省级房屋及市政工程项目招投标备案办理工作实行承诺制的通知</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省级房屋及市政工程项目招投标备案工作所有材料在疫情结束前实行承诺制</w:t>
            </w:r>
          </w:p>
        </w:tc>
      </w:tr>
      <w:tr w:rsidR="00F836E4">
        <w:trPr>
          <w:trHeight w:val="98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17</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住建厅《关于做好疫情防控期间注册执业人员继续教育的工作》</w:t>
            </w:r>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“二级结构师、二级建筑师、二级建造师线下继续教育培训工作暂时停止，鼓励采用网络方式进行。注册有效期截止日为</w:t>
            </w:r>
            <w:r>
              <w:rPr>
                <w:rFonts w:ascii="微软雅黑" w:eastAsia="微软雅黑" w:hAnsi="微软雅黑" w:hint="eastAsia"/>
                <w:color w:val="000000"/>
                <w:sz w:val="16"/>
                <w:szCs w:val="16"/>
              </w:rPr>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w:t>
            </w:r>
            <w:r>
              <w:rPr>
                <w:rFonts w:ascii="微软雅黑" w:eastAsia="微软雅黑" w:hAnsi="微软雅黑" w:hint="eastAsia"/>
                <w:color w:val="000000"/>
                <w:sz w:val="16"/>
                <w:szCs w:val="16"/>
              </w:rPr>
              <w:t>日至</w:t>
            </w:r>
            <w:r>
              <w:rPr>
                <w:rFonts w:ascii="微软雅黑" w:eastAsia="微软雅黑" w:hAnsi="微软雅黑" w:hint="eastAsia"/>
                <w:color w:val="000000"/>
                <w:sz w:val="16"/>
                <w:szCs w:val="16"/>
              </w:rPr>
              <w:t>4</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30</w:t>
            </w:r>
            <w:r>
              <w:rPr>
                <w:rFonts w:ascii="微软雅黑" w:eastAsia="微软雅黑" w:hAnsi="微软雅黑" w:hint="eastAsia"/>
                <w:color w:val="000000"/>
                <w:sz w:val="16"/>
                <w:szCs w:val="16"/>
              </w:rPr>
              <w:t>日期间的二级注册结构师、二级注册建筑师、二级注册建造师证书，其有效期顺延</w:t>
            </w:r>
            <w:r>
              <w:rPr>
                <w:rFonts w:ascii="微软雅黑" w:eastAsia="微软雅黑" w:hAnsi="微软雅黑" w:hint="eastAsia"/>
                <w:color w:val="000000"/>
                <w:sz w:val="16"/>
                <w:szCs w:val="16"/>
              </w:rPr>
              <w:t>90</w:t>
            </w:r>
            <w:r>
              <w:rPr>
                <w:rFonts w:ascii="微软雅黑" w:eastAsia="微软雅黑" w:hAnsi="微软雅黑" w:hint="eastAsia"/>
                <w:color w:val="000000"/>
                <w:sz w:val="16"/>
                <w:szCs w:val="16"/>
              </w:rPr>
              <w:t>日。”</w:t>
            </w:r>
          </w:p>
        </w:tc>
      </w:tr>
      <w:tr w:rsidR="00F836E4">
        <w:trPr>
          <w:trHeight w:val="740"/>
        </w:trPr>
        <w:tc>
          <w:tcPr>
            <w:tcW w:w="594"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lastRenderedPageBreak/>
              <w:t>2</w:t>
            </w:r>
            <w:r>
              <w:rPr>
                <w:rFonts w:ascii="微软雅黑" w:eastAsia="微软雅黑" w:hAnsi="微软雅黑" w:hint="eastAsia"/>
                <w:color w:val="000000"/>
                <w:sz w:val="16"/>
                <w:szCs w:val="16"/>
              </w:rPr>
              <w:t>月</w:t>
            </w:r>
            <w:r>
              <w:rPr>
                <w:rFonts w:ascii="微软雅黑" w:eastAsia="微软雅黑" w:hAnsi="微软雅黑" w:hint="eastAsia"/>
                <w:color w:val="000000"/>
                <w:sz w:val="16"/>
                <w:szCs w:val="16"/>
              </w:rPr>
              <w:t>17</w:t>
            </w:r>
            <w:r>
              <w:rPr>
                <w:rFonts w:ascii="微软雅黑" w:eastAsia="微软雅黑" w:hAnsi="微软雅黑" w:hint="eastAsia"/>
                <w:color w:val="000000"/>
                <w:sz w:val="16"/>
                <w:szCs w:val="16"/>
              </w:rPr>
              <w:t>日</w:t>
            </w:r>
          </w:p>
        </w:tc>
        <w:tc>
          <w:tcPr>
            <w:tcW w:w="769" w:type="pct"/>
            <w:tcBorders>
              <w:top w:val="nil"/>
              <w:left w:val="single" w:sz="8" w:space="0" w:color="FFFFFF"/>
              <w:bottom w:val="single" w:sz="8" w:space="0" w:color="FFFFFF"/>
              <w:right w:val="nil"/>
            </w:tcBorders>
            <w:shd w:val="clear" w:color="000000" w:fill="E8ECE8"/>
            <w:vAlign w:val="center"/>
          </w:tcPr>
          <w:p w:rsidR="00F836E4" w:rsidRDefault="00B228FD">
            <w:pPr>
              <w:jc w:val="center"/>
              <w:rPr>
                <w:rFonts w:ascii="微软雅黑" w:eastAsia="微软雅黑" w:hAnsi="微软雅黑"/>
                <w:color w:val="000000"/>
                <w:sz w:val="16"/>
                <w:szCs w:val="16"/>
              </w:rPr>
            </w:pPr>
            <w:r>
              <w:rPr>
                <w:rFonts w:ascii="微软雅黑" w:eastAsia="微软雅黑" w:hAnsi="微软雅黑" w:hint="eastAsia"/>
                <w:color w:val="000000"/>
                <w:sz w:val="16"/>
                <w:szCs w:val="16"/>
              </w:rPr>
              <w:t>江苏省</w:t>
            </w:r>
          </w:p>
        </w:tc>
        <w:tc>
          <w:tcPr>
            <w:tcW w:w="1540"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proofErr w:type="gramStart"/>
            <w:r>
              <w:rPr>
                <w:rFonts w:ascii="微软雅黑" w:eastAsia="微软雅黑" w:hAnsi="微软雅黑" w:hint="eastAsia"/>
                <w:color w:val="000000"/>
                <w:sz w:val="16"/>
                <w:szCs w:val="16"/>
              </w:rPr>
              <w:t>省工信厅《关于支持应用工业互联网平台助力企业复产提效的通知》</w:t>
            </w:r>
            <w:proofErr w:type="gramEnd"/>
          </w:p>
        </w:tc>
        <w:tc>
          <w:tcPr>
            <w:tcW w:w="2098" w:type="pct"/>
            <w:tcBorders>
              <w:top w:val="nil"/>
              <w:left w:val="single" w:sz="8" w:space="0" w:color="FFFFFF"/>
              <w:bottom w:val="single" w:sz="8" w:space="0" w:color="FFFFFF"/>
              <w:right w:val="nil"/>
            </w:tcBorders>
            <w:shd w:val="clear" w:color="000000" w:fill="E8ECE8"/>
            <w:vAlign w:val="center"/>
          </w:tcPr>
          <w:p w:rsidR="00F836E4" w:rsidRDefault="00B228FD">
            <w:pPr>
              <w:rPr>
                <w:rFonts w:ascii="微软雅黑" w:eastAsia="微软雅黑" w:hAnsi="微软雅黑"/>
                <w:color w:val="000000"/>
                <w:sz w:val="16"/>
                <w:szCs w:val="16"/>
              </w:rPr>
            </w:pPr>
            <w:r>
              <w:rPr>
                <w:rFonts w:ascii="微软雅黑" w:eastAsia="微软雅黑" w:hAnsi="微软雅黑" w:hint="eastAsia"/>
                <w:color w:val="000000"/>
                <w:sz w:val="16"/>
                <w:szCs w:val="16"/>
              </w:rPr>
              <w:t>通知指出，支持工业互联网服务机构不断丰富相关产品和服务，助力全省企业早日复工复产，并运用新一代信息技术实现提质、降本和增效。</w:t>
            </w:r>
          </w:p>
        </w:tc>
      </w:tr>
    </w:tbl>
    <w:p w:rsidR="00F836E4" w:rsidRDefault="00F836E4">
      <w:pPr>
        <w:spacing w:after="156"/>
        <w:outlineLvl w:val="0"/>
        <w:rPr>
          <w:rFonts w:ascii="微软雅黑" w:eastAsia="微软雅黑" w:hAnsi="微软雅黑"/>
          <w:b/>
          <w:bCs/>
          <w:color w:val="0070C0"/>
          <w:sz w:val="28"/>
          <w:szCs w:val="28"/>
        </w:rPr>
        <w:sectPr w:rsidR="00F836E4">
          <w:pgSz w:w="11906" w:h="16838"/>
          <w:pgMar w:top="1440" w:right="1800" w:bottom="1440" w:left="1800" w:header="851" w:footer="992" w:gutter="0"/>
          <w:cols w:space="425"/>
          <w:docGrid w:type="lines" w:linePitch="312"/>
        </w:sectPr>
      </w:pPr>
    </w:p>
    <w:p w:rsidR="00F836E4" w:rsidRDefault="00B228FD">
      <w:pPr>
        <w:spacing w:after="156"/>
        <w:outlineLvl w:val="0"/>
        <w:rPr>
          <w:rFonts w:ascii="微软雅黑" w:eastAsia="微软雅黑" w:hAnsi="微软雅黑"/>
          <w:b/>
          <w:bCs/>
          <w:color w:val="0070C0"/>
          <w:sz w:val="28"/>
          <w:szCs w:val="28"/>
        </w:rPr>
      </w:pPr>
      <w:r>
        <w:rPr>
          <w:rFonts w:ascii="微软雅黑" w:eastAsia="微软雅黑" w:hAnsi="微软雅黑" w:hint="eastAsia"/>
          <w:b/>
          <w:bCs/>
          <w:color w:val="0070C0"/>
          <w:sz w:val="28"/>
          <w:szCs w:val="28"/>
        </w:rPr>
        <w:lastRenderedPageBreak/>
        <w:t>【总结】</w:t>
      </w:r>
    </w:p>
    <w:p w:rsidR="00F836E4" w:rsidRDefault="00B228FD">
      <w:pPr>
        <w:spacing w:after="120" w:line="300" w:lineRule="auto"/>
        <w:ind w:firstLineChars="200" w:firstLine="480"/>
      </w:pPr>
      <w:r>
        <w:rPr>
          <w:rFonts w:hint="eastAsia"/>
        </w:rPr>
        <w:t>目前各种政策虽然层出不穷，但是从顶层设计到下层落实推进的时间点难以把握，对于企业来说，越是艰难的时刻，越需要发挥自身力量，学会“自救”。</w:t>
      </w:r>
    </w:p>
    <w:p w:rsidR="00F836E4" w:rsidRDefault="00B228FD">
      <w:pPr>
        <w:spacing w:after="120" w:line="300" w:lineRule="auto"/>
        <w:ind w:firstLineChars="200" w:firstLine="480"/>
      </w:pPr>
      <w:r>
        <w:rPr>
          <w:rFonts w:hint="eastAsia"/>
        </w:rPr>
        <w:t>第一，疫情影响项目正常运转带来的流动资金压力，从各地发布的政策和已经呈现出的问题来看，将为企业带来直接影响。一方面企业应加强自身的资金统筹管理，另一方面应争取金融机构的信贷支持。</w:t>
      </w:r>
    </w:p>
    <w:p w:rsidR="00F836E4" w:rsidRDefault="00B228FD">
      <w:pPr>
        <w:spacing w:after="120" w:line="300" w:lineRule="auto"/>
        <w:ind w:firstLineChars="200" w:firstLine="480"/>
      </w:pPr>
      <w:r>
        <w:rPr>
          <w:rFonts w:hint="eastAsia"/>
        </w:rPr>
        <w:t>第二，在日常经营运作方面，探索新的工作模式已经成为一种普遍的尝试，本次疫情一定会加速在线协同工作的进程。</w:t>
      </w:r>
    </w:p>
    <w:p w:rsidR="00F836E4" w:rsidRDefault="00B228FD">
      <w:pPr>
        <w:pStyle w:val="a8"/>
        <w:numPr>
          <w:ilvl w:val="0"/>
          <w:numId w:val="1"/>
        </w:numPr>
        <w:spacing w:after="120" w:line="300" w:lineRule="auto"/>
        <w:ind w:firstLineChars="0"/>
        <w:rPr>
          <w:sz w:val="24"/>
        </w:rPr>
      </w:pPr>
      <w:r>
        <w:rPr>
          <w:rFonts w:hint="eastAsia"/>
          <w:sz w:val="24"/>
        </w:rPr>
        <w:t>为解决类似突发事件对内部工作协同、与客户交互服务的影响，加快推进正向设计、协同设计将是重</w:t>
      </w:r>
      <w:r>
        <w:rPr>
          <w:rFonts w:hint="eastAsia"/>
          <w:sz w:val="24"/>
        </w:rPr>
        <w:t>要的基础性工作；</w:t>
      </w:r>
    </w:p>
    <w:p w:rsidR="00F836E4" w:rsidRDefault="00B228FD">
      <w:pPr>
        <w:pStyle w:val="a8"/>
        <w:numPr>
          <w:ilvl w:val="0"/>
          <w:numId w:val="1"/>
        </w:numPr>
        <w:spacing w:after="120" w:line="300" w:lineRule="auto"/>
        <w:ind w:firstLineChars="0"/>
        <w:rPr>
          <w:sz w:val="24"/>
        </w:rPr>
      </w:pPr>
      <w:r>
        <w:rPr>
          <w:rFonts w:hint="eastAsia"/>
          <w:sz w:val="24"/>
        </w:rPr>
        <w:t>在线协同工作方式的精益化。相较于面对面的交流，技术手段解决了沟通渠道问题。但如何更好地提高在线协同效率将是需要突破的问题。这需要关注工作的有效策划分解及有效跟踪、研讨型会议的策划与组织、员工职业化工作行为规范等诸多方面。</w:t>
      </w:r>
    </w:p>
    <w:p w:rsidR="00F836E4" w:rsidRDefault="00B228FD">
      <w:pPr>
        <w:spacing w:after="120" w:line="300" w:lineRule="auto"/>
        <w:ind w:firstLineChars="200" w:firstLine="480"/>
      </w:pPr>
      <w:r>
        <w:rPr>
          <w:rFonts w:hint="eastAsia"/>
        </w:rPr>
        <w:t>第三，员工人文关怀。企业—员工的职业格局未来会随着行业市场监管、工作协同方式的改变而发生较大变化。部分设计企业与员工的关联更多是一种利益链接。面对当前的困境，企业的主动作为是与员工建立新型伙伴关系的重要契机，以人文关怀加强粘性与归属感，共克时艰。</w:t>
      </w:r>
    </w:p>
    <w:p w:rsidR="00F836E4" w:rsidRDefault="00B228FD">
      <w:pPr>
        <w:spacing w:after="120" w:line="300" w:lineRule="auto"/>
        <w:ind w:firstLineChars="200" w:firstLine="480"/>
      </w:pPr>
      <w:r>
        <w:rPr>
          <w:rFonts w:hint="eastAsia"/>
        </w:rPr>
        <w:t>第四，“战时”创新主动布</w:t>
      </w:r>
      <w:r>
        <w:rPr>
          <w:rFonts w:hint="eastAsia"/>
        </w:rPr>
        <w:t>局未来。这次疫情也将对未来城市建设管理、相关基础设施建设带来新的要求，包括医疗建筑、智慧城市等方面。如何立足场景需求，布局产品与服务创新，也将是跨越寒冬、拥抱新春天的主动作为。一旦机会来临，拥有更具价值的业务结构便能让企业有机会与其他企业拉开距离。</w:t>
      </w:r>
    </w:p>
    <w:p w:rsidR="00F836E4" w:rsidRDefault="00F836E4">
      <w:pPr>
        <w:spacing w:after="156"/>
        <w:ind w:firstLine="480"/>
        <w:rPr>
          <w:rFonts w:ascii="仿宋_GB2312" w:eastAsia="仿宋_GB2312" w:hAnsi="仿宋_GB2312"/>
        </w:rPr>
      </w:pPr>
    </w:p>
    <w:p w:rsidR="00F836E4" w:rsidRDefault="00B228FD">
      <w:pPr>
        <w:spacing w:after="156"/>
        <w:ind w:firstLine="482"/>
        <w:rPr>
          <w:rFonts w:ascii="仿宋_GB2312" w:eastAsia="仿宋_GB2312" w:hAnsi="仿宋_GB2312"/>
          <w:b/>
          <w:bCs/>
        </w:rPr>
      </w:pPr>
      <w:r>
        <w:rPr>
          <w:rFonts w:ascii="仿宋_GB2312" w:eastAsia="仿宋_GB2312" w:hAnsi="仿宋_GB2312" w:hint="eastAsia"/>
          <w:b/>
          <w:bCs/>
        </w:rPr>
        <w:t>关注</w:t>
      </w:r>
      <w:r>
        <w:rPr>
          <w:rFonts w:ascii="仿宋_GB2312" w:eastAsia="仿宋_GB2312" w:hAnsi="仿宋_GB2312" w:hint="eastAsia"/>
          <w:b/>
          <w:bCs/>
        </w:rPr>
        <w:t>云南省勘察设计协会</w:t>
      </w:r>
      <w:proofErr w:type="gramStart"/>
      <w:r>
        <w:rPr>
          <w:rFonts w:ascii="仿宋_GB2312" w:eastAsia="仿宋_GB2312" w:hAnsi="仿宋_GB2312" w:hint="eastAsia"/>
          <w:b/>
          <w:bCs/>
        </w:rPr>
        <w:t>与</w:t>
      </w:r>
      <w:r>
        <w:rPr>
          <w:rFonts w:ascii="仿宋_GB2312" w:eastAsia="仿宋_GB2312" w:hAnsi="仿宋_GB2312" w:hint="eastAsia"/>
          <w:b/>
          <w:bCs/>
        </w:rPr>
        <w:t>思翔工程设计</w:t>
      </w:r>
      <w:proofErr w:type="gramEnd"/>
      <w:r>
        <w:rPr>
          <w:rFonts w:ascii="仿宋_GB2312" w:eastAsia="仿宋_GB2312" w:hAnsi="仿宋_GB2312" w:hint="eastAsia"/>
          <w:b/>
          <w:bCs/>
        </w:rPr>
        <w:t>洞察微信（</w:t>
      </w:r>
      <w:proofErr w:type="spellStart"/>
      <w:r>
        <w:rPr>
          <w:rFonts w:ascii="仿宋_GB2312" w:eastAsia="仿宋_GB2312" w:hAnsi="仿宋_GB2312" w:hint="eastAsia"/>
          <w:b/>
          <w:bCs/>
        </w:rPr>
        <w:t>tacter</w:t>
      </w:r>
      <w:r>
        <w:rPr>
          <w:rFonts w:ascii="仿宋_GB2312" w:eastAsia="仿宋_GB2312" w:hAnsi="仿宋_GB2312"/>
          <w:b/>
          <w:bCs/>
        </w:rPr>
        <w:t>-sixiang</w:t>
      </w:r>
      <w:proofErr w:type="spellEnd"/>
      <w:r>
        <w:rPr>
          <w:rFonts w:ascii="仿宋_GB2312" w:eastAsia="仿宋_GB2312" w:hAnsi="仿宋_GB2312" w:hint="eastAsia"/>
          <w:b/>
          <w:bCs/>
        </w:rPr>
        <w:t>），回复关键词【疫情】，即可获取与对抗疫情相关的专业文章。</w:t>
      </w:r>
    </w:p>
    <w:p w:rsidR="00F836E4" w:rsidRDefault="00B228FD">
      <w:pPr>
        <w:spacing w:after="156"/>
        <w:ind w:firstLine="482"/>
        <w:jc w:val="right"/>
        <w:rPr>
          <w:rFonts w:ascii="仿宋_GB2312" w:eastAsia="仿宋_GB2312" w:hAnsi="仿宋_GB2312"/>
          <w:b/>
          <w:bCs/>
        </w:rPr>
        <w:sectPr w:rsidR="00F836E4">
          <w:pgSz w:w="11906" w:h="16838"/>
          <w:pgMar w:top="1440" w:right="1646" w:bottom="1440" w:left="1980" w:header="779" w:footer="992" w:gutter="0"/>
          <w:cols w:space="720"/>
          <w:docGrid w:type="lines" w:linePitch="312"/>
        </w:sectPr>
      </w:pPr>
      <w:r>
        <w:rPr>
          <w:rFonts w:ascii="仿宋_GB2312" w:eastAsia="仿宋_GB2312" w:hAnsi="仿宋_GB2312" w:hint="eastAsia"/>
          <w:b/>
          <w:bCs/>
          <w:noProof/>
        </w:rPr>
        <w:drawing>
          <wp:inline distT="0" distB="0" distL="114300" distR="114300">
            <wp:extent cx="1029335" cy="1005205"/>
            <wp:effectExtent l="0" t="0" r="18415" b="4445"/>
            <wp:docPr id="6" name="图片 6" descr="协会微信公众平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协会微信公众平台"/>
                    <pic:cNvPicPr>
                      <a:picLocks noChangeAspect="1"/>
                    </pic:cNvPicPr>
                  </pic:nvPicPr>
                  <pic:blipFill>
                    <a:blip r:embed="rId38"/>
                    <a:stretch>
                      <a:fillRect/>
                    </a:stretch>
                  </pic:blipFill>
                  <pic:spPr>
                    <a:xfrm>
                      <a:off x="0" y="0"/>
                      <a:ext cx="1029335" cy="1005205"/>
                    </a:xfrm>
                    <a:prstGeom prst="rect">
                      <a:avLst/>
                    </a:prstGeom>
                  </pic:spPr>
                </pic:pic>
              </a:graphicData>
            </a:graphic>
          </wp:inline>
        </w:drawing>
      </w:r>
      <w:r>
        <w:rPr>
          <w:rFonts w:ascii="仿宋_GB2312" w:eastAsia="仿宋_GB2312" w:hAnsi="仿宋_GB2312" w:hint="eastAsia"/>
          <w:b/>
          <w:bCs/>
          <w:noProof/>
        </w:rPr>
        <w:drawing>
          <wp:inline distT="0" distB="0" distL="0" distR="0">
            <wp:extent cx="1028700" cy="10287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55570" cy="1055570"/>
                    </a:xfrm>
                    <a:prstGeom prst="rect">
                      <a:avLst/>
                    </a:prstGeom>
                  </pic:spPr>
                </pic:pic>
              </a:graphicData>
            </a:graphic>
          </wp:inline>
        </w:drawing>
      </w:r>
    </w:p>
    <w:p w:rsidR="00F836E4" w:rsidRDefault="00B228FD">
      <w:pPr>
        <w:spacing w:afterLines="50" w:after="156" w:line="300" w:lineRule="auto"/>
        <w:rPr>
          <w:rFonts w:ascii="楷体_GB2312" w:eastAsia="楷体_GB2312" w:hAnsi="楷体_GB2312" w:cs="楷体_GB2312"/>
          <w:b/>
          <w:color w:val="006699"/>
        </w:rPr>
      </w:pPr>
      <w:r>
        <w:rPr>
          <w:rFonts w:ascii="仿宋_GB2312" w:eastAsia="仿宋_GB2312" w:hAnsi="仿宋_GB2312" w:hint="eastAsia"/>
          <w:b/>
          <w:bCs/>
          <w:noProof/>
        </w:rPr>
        <w:lastRenderedPageBreak/>
        <w:drawing>
          <wp:inline distT="0" distB="0" distL="114300" distR="114300">
            <wp:extent cx="1029335" cy="1005205"/>
            <wp:effectExtent l="0" t="0" r="18415" b="4445"/>
            <wp:docPr id="7" name="图片 7" descr="协会微信公众平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协会微信公众平台"/>
                    <pic:cNvPicPr>
                      <a:picLocks noChangeAspect="1"/>
                    </pic:cNvPicPr>
                  </pic:nvPicPr>
                  <pic:blipFill>
                    <a:blip r:embed="rId38"/>
                    <a:stretch>
                      <a:fillRect/>
                    </a:stretch>
                  </pic:blipFill>
                  <pic:spPr>
                    <a:xfrm>
                      <a:off x="0" y="0"/>
                      <a:ext cx="1029335" cy="1005205"/>
                    </a:xfrm>
                    <a:prstGeom prst="rect">
                      <a:avLst/>
                    </a:prstGeom>
                  </pic:spPr>
                </pic:pic>
              </a:graphicData>
            </a:graphic>
          </wp:inline>
        </w:drawing>
      </w:r>
      <w:r>
        <w:rPr>
          <w:noProof/>
        </w:rPr>
        <mc:AlternateContent>
          <mc:Choice Requires="wps">
            <w:drawing>
              <wp:anchor distT="0" distB="0" distL="114300" distR="114300" simplePos="0" relativeHeight="251710464" behindDoc="0" locked="0" layoutInCell="1" allowOverlap="1">
                <wp:simplePos x="0" y="0"/>
                <wp:positionH relativeFrom="column">
                  <wp:posOffset>-1290955</wp:posOffset>
                </wp:positionH>
                <wp:positionV relativeFrom="paragraph">
                  <wp:posOffset>-1202055</wp:posOffset>
                </wp:positionV>
                <wp:extent cx="7596505" cy="10982960"/>
                <wp:effectExtent l="0" t="0" r="4445" b="8890"/>
                <wp:wrapNone/>
                <wp:docPr id="58" name="矩形 9"/>
                <wp:cNvGraphicFramePr/>
                <a:graphic xmlns:a="http://schemas.openxmlformats.org/drawingml/2006/main">
                  <a:graphicData uri="http://schemas.microsoft.com/office/word/2010/wordprocessingShape">
                    <wps:wsp>
                      <wps:cNvSpPr/>
                      <wps:spPr>
                        <a:xfrm>
                          <a:off x="0" y="0"/>
                          <a:ext cx="7596505" cy="10982960"/>
                        </a:xfrm>
                        <a:prstGeom prst="rect">
                          <a:avLst/>
                        </a:prstGeom>
                        <a:gradFill>
                          <a:gsLst>
                            <a:gs pos="54000">
                              <a:srgbClr val="114830"/>
                            </a:gs>
                            <a:gs pos="100000">
                              <a:srgbClr val="0C1B0D"/>
                            </a:gs>
                            <a:gs pos="0">
                              <a:srgbClr val="729741"/>
                            </a:gs>
                          </a:gsLst>
                          <a:path path="circle">
                            <a:fillToRect l="100000" b="100000"/>
                          </a:path>
                          <a:tileRect t="-100000" r="-100000"/>
                        </a:gradFill>
                        <a:ln w="9525" cap="flat" cmpd="sng" algn="ctr">
                          <a:noFill/>
                          <a:prstDash val="solid"/>
                          <a:round/>
                          <a:headEnd type="none" w="med" len="med"/>
                          <a:tailEnd type="none" w="med" len="med"/>
                        </a:ln>
                      </wps:spPr>
                      <wps:bodyPr vert="horz" wrap="square" lIns="109728" tIns="54864" rIns="109728" bIns="54864" numCol="1" rtlCol="0" anchor="ctr" anchorCtr="0" compatLnSpc="1"/>
                    </wps:wsp>
                  </a:graphicData>
                </a:graphic>
              </wp:anchor>
            </w:drawing>
          </mc:Choice>
          <mc:Fallback xmlns:wpsCustomData="http://www.wps.cn/officeDocument/2013/wpsCustomData" xmlns:w15="http://schemas.microsoft.com/office/word/2012/wordml">
            <w:pict>
              <v:rect id="矩形 9" o:spid="_x0000_s1026" o:spt="1" style="position:absolute;left:0pt;margin-left:-101.65pt;margin-top:-94.65pt;height:864.8pt;width:598.15pt;z-index:251710464;v-text-anchor:middle;mso-width-relative:page;mso-height-relative:page;" fillcolor="#729741" filled="t" stroked="f" coordsize="21600,21600" o:gfxdata="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nBcDutsAAAAO&#10;AQAADwAAAAAAAAABACAAAAAiAAAAZHJzL2Rvd25yZXYueG1sUEsBAhQAFAAAAAgAh07iQACGTROL&#10;AgAALgUAAA4AAAAAAAAAAQAgAAAAKgEAAGRycy9lMm9Eb2MueG1sUEsFBgAAAAAGAAYAWQEAACcG&#10;AAAAAA==&#10;">
                <v:fill type="gradientRadial" on="t" color2="#0C1B0D" colors="0f #729741;35389f #114830;65536f #0C1B0D" focus="100%" focussize="0f,0f" focusposition="65536f,0f" rotate="t">
                  <o:fill type="gradientRadial" v:ext="backwardCompatible"/>
                </v:fill>
                <v:stroke on="f" joinstyle="round"/>
                <v:imagedata o:title=""/>
                <o:lock v:ext="edit" aspectratio="f"/>
                <v:textbox inset="3.048mm,1.524mm,3.048mm,1.524mm"/>
              </v:rect>
            </w:pict>
          </mc:Fallback>
        </mc:AlternateContent>
      </w:r>
    </w:p>
    <w:p w:rsidR="00F836E4" w:rsidRDefault="00F836E4"/>
    <w:sectPr w:rsidR="00F836E4">
      <w:pgSz w:w="11906" w:h="16838"/>
      <w:pgMar w:top="1440" w:right="1646" w:bottom="1440" w:left="1980" w:header="779"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8FD" w:rsidRDefault="00B228FD">
      <w:r>
        <w:separator/>
      </w:r>
    </w:p>
  </w:endnote>
  <w:endnote w:type="continuationSeparator" w:id="0">
    <w:p w:rsidR="00B228FD" w:rsidRDefault="00B22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altName w:val="Arial Unicode MS"/>
    <w:charset w:val="00"/>
    <w:family w:val="swiss"/>
    <w:pitch w:val="default"/>
    <w:sig w:usb0="00000001" w:usb1="4000207B" w:usb2="00000000" w:usb3="00000000" w:csb0="2000019F" w:csb1="00000000"/>
  </w:font>
  <w:font w:name="黑体">
    <w:altName w:val="SimHei"/>
    <w:panose1 w:val="02010609060101010101"/>
    <w:charset w:val="86"/>
    <w:family w:val="modern"/>
    <w:pitch w:val="fixed"/>
    <w:sig w:usb0="800002BF" w:usb1="38CF7CFA" w:usb2="00000016" w:usb3="00000000" w:csb0="00040001" w:csb1="00000000"/>
  </w:font>
  <w:font w:name="DejaVu Sans">
    <w:altName w:val="Ebrima"/>
    <w:charset w:val="00"/>
    <w:family w:val="roman"/>
    <w:pitch w:val="default"/>
    <w:sig w:usb0="00000000" w:usb1="0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E4" w:rsidRDefault="00B228FD">
    <w:pPr>
      <w:pStyle w:val="a5"/>
    </w:pPr>
    <w:r>
      <w:rPr>
        <w:noProof/>
      </w:rPr>
      <mc:AlternateContent>
        <mc:Choice Requires="wps">
          <w:drawing>
            <wp:anchor distT="0" distB="0" distL="114300" distR="114300" simplePos="0" relativeHeight="251657728" behindDoc="0" locked="0" layoutInCell="1" allowOverlap="1">
              <wp:simplePos x="0" y="0"/>
              <wp:positionH relativeFrom="margin">
                <wp:posOffset>-281305</wp:posOffset>
              </wp:positionH>
              <wp:positionV relativeFrom="paragraph">
                <wp:posOffset>-74295</wp:posOffset>
              </wp:positionV>
              <wp:extent cx="10287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028700" cy="1828800"/>
                      </a:xfrm>
                      <a:prstGeom prst="rect">
                        <a:avLst/>
                      </a:prstGeom>
                      <a:noFill/>
                      <a:ln w="6350">
                        <a:noFill/>
                      </a:ln>
                      <a:effectLst/>
                    </wps:spPr>
                    <wps:txbx>
                      <w:txbxContent>
                        <w:p w:rsidR="00F836E4" w:rsidRDefault="00B228FD">
                          <w:pPr>
                            <w:pStyle w:val="a5"/>
                            <w:ind w:firstLine="440"/>
                            <w:jc w:val="center"/>
                            <w:rPr>
                              <w:rFonts w:ascii="微软雅黑" w:eastAsia="微软雅黑" w:hAnsi="微软雅黑" w:cs="微软雅黑"/>
                              <w:b/>
                              <w:bCs/>
                              <w:color w:val="252525"/>
                            </w:rPr>
                          </w:pP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sz w:val="24"/>
                            </w:rPr>
                            <w:fldChar w:fldCharType="begin"/>
                          </w:r>
                          <w:r>
                            <w:rPr>
                              <w:rFonts w:ascii="微软雅黑" w:eastAsia="微软雅黑" w:hAnsi="微软雅黑" w:cs="微软雅黑" w:hint="eastAsia"/>
                              <w:b/>
                              <w:bCs/>
                              <w:color w:val="252525"/>
                            </w:rPr>
                            <w:instrText>PAGE</w:instrText>
                          </w:r>
                          <w:r>
                            <w:rPr>
                              <w:rFonts w:ascii="微软雅黑" w:eastAsia="微软雅黑" w:hAnsi="微软雅黑" w:cs="微软雅黑" w:hint="eastAsia"/>
                              <w:b/>
                              <w:bCs/>
                              <w:color w:val="252525"/>
                              <w:sz w:val="24"/>
                            </w:rPr>
                            <w:fldChar w:fldCharType="separate"/>
                          </w:r>
                          <w:r w:rsidR="00265091">
                            <w:rPr>
                              <w:rFonts w:ascii="微软雅黑" w:eastAsia="微软雅黑" w:hAnsi="微软雅黑" w:cs="微软雅黑"/>
                              <w:b/>
                              <w:bCs/>
                              <w:noProof/>
                              <w:color w:val="252525"/>
                            </w:rPr>
                            <w:t>1</w:t>
                          </w:r>
                          <w:r>
                            <w:rPr>
                              <w:rFonts w:ascii="微软雅黑" w:eastAsia="微软雅黑" w:hAnsi="微软雅黑" w:cs="微软雅黑" w:hint="eastAsia"/>
                              <w:b/>
                              <w:bCs/>
                              <w:color w:val="252525"/>
                              <w:sz w:val="24"/>
                            </w:rPr>
                            <w:fldChar w:fldCharType="end"/>
                          </w:r>
                          <w:r>
                            <w:rPr>
                              <w:rFonts w:ascii="微软雅黑" w:eastAsia="微软雅黑" w:hAnsi="微软雅黑" w:cs="微软雅黑" w:hint="eastAsia"/>
                              <w:b/>
                              <w:bCs/>
                              <w:color w:val="252525"/>
                              <w:lang w:val="zh-CN"/>
                            </w:rPr>
                            <w:t xml:space="preserve"> / </w:t>
                          </w:r>
                          <w:r>
                            <w:rPr>
                              <w:rFonts w:ascii="微软雅黑" w:eastAsia="微软雅黑" w:hAnsi="微软雅黑" w:cs="微软雅黑" w:hint="eastAsia"/>
                              <w:b/>
                              <w:bCs/>
                              <w:color w:val="252525"/>
                              <w:lang w:val="zh-CN"/>
                            </w:rPr>
                            <w:fldChar w:fldCharType="begin"/>
                          </w:r>
                          <w:r>
                            <w:rPr>
                              <w:rFonts w:ascii="微软雅黑" w:eastAsia="微软雅黑" w:hAnsi="微软雅黑" w:cs="微软雅黑" w:hint="eastAsia"/>
                              <w:b/>
                              <w:bCs/>
                              <w:color w:val="252525"/>
                              <w:lang w:val="zh-CN"/>
                            </w:rPr>
                            <w:instrText xml:space="preserve"> NUMPAGES </w:instrText>
                          </w:r>
                          <w:r>
                            <w:rPr>
                              <w:rFonts w:ascii="微软雅黑" w:eastAsia="微软雅黑" w:hAnsi="微软雅黑" w:cs="微软雅黑" w:hint="eastAsia"/>
                              <w:b/>
                              <w:bCs/>
                              <w:color w:val="252525"/>
                              <w:lang w:val="zh-CN"/>
                            </w:rPr>
                            <w:fldChar w:fldCharType="separate"/>
                          </w:r>
                          <w:r w:rsidR="00265091">
                            <w:rPr>
                              <w:rFonts w:ascii="微软雅黑" w:eastAsia="微软雅黑" w:hAnsi="微软雅黑" w:cs="微软雅黑"/>
                              <w:b/>
                              <w:bCs/>
                              <w:noProof/>
                              <w:color w:val="252525"/>
                              <w:lang w:val="zh-CN"/>
                            </w:rPr>
                            <w:t>1</w:t>
                          </w:r>
                          <w:r>
                            <w:rPr>
                              <w:rFonts w:ascii="微软雅黑" w:eastAsia="微软雅黑" w:hAnsi="微软雅黑" w:cs="微软雅黑" w:hint="eastAsia"/>
                              <w:b/>
                              <w:bCs/>
                              <w:color w:val="252525"/>
                              <w:lang w:val="zh-CN"/>
                            </w:rP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8" type="#_x0000_t202" style="position:absolute;margin-left:-22.15pt;margin-top:-5.85pt;width:81pt;height:2in;z-index:2516577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" filled="f" stroked="f" strokeweight=".5pt">
              <v:textbox style="mso-fit-shape-to-text:t" inset="0,0,0,0">
                <w:txbxContent>
                  <w:p w:rsidR="00F836E4" w:rsidRDefault="00B228FD">
                    <w:pPr>
                      <w:pStyle w:val="a5"/>
                      <w:ind w:firstLine="440"/>
                      <w:jc w:val="center"/>
                      <w:rPr>
                        <w:rFonts w:ascii="微软雅黑" w:eastAsia="微软雅黑" w:hAnsi="微软雅黑" w:cs="微软雅黑"/>
                        <w:b/>
                        <w:bCs/>
                        <w:color w:val="252525"/>
                      </w:rPr>
                    </w:pP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sz w:val="24"/>
                      </w:rPr>
                      <w:fldChar w:fldCharType="begin"/>
                    </w:r>
                    <w:r>
                      <w:rPr>
                        <w:rFonts w:ascii="微软雅黑" w:eastAsia="微软雅黑" w:hAnsi="微软雅黑" w:cs="微软雅黑" w:hint="eastAsia"/>
                        <w:b/>
                        <w:bCs/>
                        <w:color w:val="252525"/>
                      </w:rPr>
                      <w:instrText>PAGE</w:instrText>
                    </w:r>
                    <w:r>
                      <w:rPr>
                        <w:rFonts w:ascii="微软雅黑" w:eastAsia="微软雅黑" w:hAnsi="微软雅黑" w:cs="微软雅黑" w:hint="eastAsia"/>
                        <w:b/>
                        <w:bCs/>
                        <w:color w:val="252525"/>
                        <w:sz w:val="24"/>
                      </w:rPr>
                      <w:fldChar w:fldCharType="separate"/>
                    </w:r>
                    <w:r w:rsidR="00265091">
                      <w:rPr>
                        <w:rFonts w:ascii="微软雅黑" w:eastAsia="微软雅黑" w:hAnsi="微软雅黑" w:cs="微软雅黑"/>
                        <w:b/>
                        <w:bCs/>
                        <w:noProof/>
                        <w:color w:val="252525"/>
                      </w:rPr>
                      <w:t>1</w:t>
                    </w:r>
                    <w:r>
                      <w:rPr>
                        <w:rFonts w:ascii="微软雅黑" w:eastAsia="微软雅黑" w:hAnsi="微软雅黑" w:cs="微软雅黑" w:hint="eastAsia"/>
                        <w:b/>
                        <w:bCs/>
                        <w:color w:val="252525"/>
                        <w:sz w:val="24"/>
                      </w:rPr>
                      <w:fldChar w:fldCharType="end"/>
                    </w:r>
                    <w:r>
                      <w:rPr>
                        <w:rFonts w:ascii="微软雅黑" w:eastAsia="微软雅黑" w:hAnsi="微软雅黑" w:cs="微软雅黑" w:hint="eastAsia"/>
                        <w:b/>
                        <w:bCs/>
                        <w:color w:val="252525"/>
                        <w:lang w:val="zh-CN"/>
                      </w:rPr>
                      <w:t xml:space="preserve"> / </w:t>
                    </w:r>
                    <w:r>
                      <w:rPr>
                        <w:rFonts w:ascii="微软雅黑" w:eastAsia="微软雅黑" w:hAnsi="微软雅黑" w:cs="微软雅黑" w:hint="eastAsia"/>
                        <w:b/>
                        <w:bCs/>
                        <w:color w:val="252525"/>
                        <w:lang w:val="zh-CN"/>
                      </w:rPr>
                      <w:fldChar w:fldCharType="begin"/>
                    </w:r>
                    <w:r>
                      <w:rPr>
                        <w:rFonts w:ascii="微软雅黑" w:eastAsia="微软雅黑" w:hAnsi="微软雅黑" w:cs="微软雅黑" w:hint="eastAsia"/>
                        <w:b/>
                        <w:bCs/>
                        <w:color w:val="252525"/>
                        <w:lang w:val="zh-CN"/>
                      </w:rPr>
                      <w:instrText xml:space="preserve"> NUMPAGES </w:instrText>
                    </w:r>
                    <w:r>
                      <w:rPr>
                        <w:rFonts w:ascii="微软雅黑" w:eastAsia="微软雅黑" w:hAnsi="微软雅黑" w:cs="微软雅黑" w:hint="eastAsia"/>
                        <w:b/>
                        <w:bCs/>
                        <w:color w:val="252525"/>
                        <w:lang w:val="zh-CN"/>
                      </w:rPr>
                      <w:fldChar w:fldCharType="separate"/>
                    </w:r>
                    <w:r w:rsidR="00265091">
                      <w:rPr>
                        <w:rFonts w:ascii="微软雅黑" w:eastAsia="微软雅黑" w:hAnsi="微软雅黑" w:cs="微软雅黑"/>
                        <w:b/>
                        <w:bCs/>
                        <w:noProof/>
                        <w:color w:val="252525"/>
                        <w:lang w:val="zh-CN"/>
                      </w:rPr>
                      <w:t>1</w:t>
                    </w:r>
                    <w:r>
                      <w:rPr>
                        <w:rFonts w:ascii="微软雅黑" w:eastAsia="微软雅黑" w:hAnsi="微软雅黑" w:cs="微软雅黑" w:hint="eastAsia"/>
                        <w:b/>
                        <w:bCs/>
                        <w:color w:val="252525"/>
                        <w:lang w:val="zh-CN"/>
                      </w:rPr>
                      <w:fldChar w:fldCharType="end"/>
                    </w:r>
                  </w:p>
                </w:txbxContent>
              </v:textbox>
              <w10:wrap anchorx="margin"/>
            </v:shape>
          </w:pict>
        </mc:Fallback>
      </mc:AlternateContent>
    </w:r>
    <w:r>
      <w:rPr>
        <w:rFonts w:hint="eastAsia"/>
      </w:rPr>
      <w:t xml:space="preserve">                                                             </w:t>
    </w:r>
    <w:r>
      <w:rPr>
        <w:rFonts w:hint="eastAsia"/>
      </w:rPr>
      <w:t>云南省勘察设计协会</w:t>
    </w:r>
    <w:r>
      <w:rPr>
        <w:rFonts w:hint="eastAsia"/>
      </w:rPr>
      <w:t>/</w:t>
    </w:r>
    <w:proofErr w:type="gramStart"/>
    <w:r>
      <w:rPr>
        <w:rFonts w:hint="eastAsia"/>
      </w:rPr>
      <w:t>天强</w:t>
    </w:r>
    <w:proofErr w:type="gramEnd"/>
    <w:r>
      <w:rPr>
        <w:rFonts w:hint="eastAsia"/>
      </w:rPr>
      <w:t>TACTER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E4" w:rsidRDefault="00B228FD">
    <w:pPr>
      <w:pStyle w:val="a5"/>
    </w:pPr>
    <w:r>
      <w:rPr>
        <w:noProof/>
      </w:rPr>
      <mc:AlternateContent>
        <mc:Choice Requires="wps">
          <w:drawing>
            <wp:anchor distT="0" distB="0" distL="114300" distR="114300" simplePos="0" relativeHeight="251658752" behindDoc="0" locked="0" layoutInCell="1" allowOverlap="1">
              <wp:simplePos x="0" y="0"/>
              <wp:positionH relativeFrom="margin">
                <wp:posOffset>-281305</wp:posOffset>
              </wp:positionH>
              <wp:positionV relativeFrom="paragraph">
                <wp:posOffset>-74295</wp:posOffset>
              </wp:positionV>
              <wp:extent cx="10287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28700" cy="1828800"/>
                      </a:xfrm>
                      <a:prstGeom prst="rect">
                        <a:avLst/>
                      </a:prstGeom>
                      <a:noFill/>
                      <a:ln w="6350">
                        <a:noFill/>
                      </a:ln>
                      <a:effectLst/>
                    </wps:spPr>
                    <wps:txbx>
                      <w:txbxContent>
                        <w:p w:rsidR="00F836E4" w:rsidRDefault="00B228FD">
                          <w:pPr>
                            <w:pStyle w:val="a5"/>
                            <w:ind w:firstLine="440"/>
                            <w:jc w:val="center"/>
                            <w:rPr>
                              <w:rFonts w:ascii="微软雅黑" w:eastAsia="微软雅黑" w:hAnsi="微软雅黑" w:cs="微软雅黑"/>
                              <w:b/>
                              <w:bCs/>
                              <w:color w:val="252525"/>
                            </w:rPr>
                          </w:pP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sz w:val="24"/>
                            </w:rPr>
                            <w:fldChar w:fldCharType="begin"/>
                          </w:r>
                          <w:r>
                            <w:rPr>
                              <w:rFonts w:ascii="微软雅黑" w:eastAsia="微软雅黑" w:hAnsi="微软雅黑" w:cs="微软雅黑" w:hint="eastAsia"/>
                              <w:b/>
                              <w:bCs/>
                              <w:color w:val="252525"/>
                            </w:rPr>
                            <w:instrText>PAGE</w:instrText>
                          </w:r>
                          <w:r>
                            <w:rPr>
                              <w:rFonts w:ascii="微软雅黑" w:eastAsia="微软雅黑" w:hAnsi="微软雅黑" w:cs="微软雅黑" w:hint="eastAsia"/>
                              <w:b/>
                              <w:bCs/>
                              <w:color w:val="252525"/>
                              <w:sz w:val="24"/>
                            </w:rPr>
                            <w:fldChar w:fldCharType="separate"/>
                          </w:r>
                          <w:r w:rsidR="00265091">
                            <w:rPr>
                              <w:rFonts w:ascii="微软雅黑" w:eastAsia="微软雅黑" w:hAnsi="微软雅黑" w:cs="微软雅黑"/>
                              <w:b/>
                              <w:bCs/>
                              <w:noProof/>
                              <w:color w:val="252525"/>
                            </w:rPr>
                            <w:t>23</w:t>
                          </w:r>
                          <w:r>
                            <w:rPr>
                              <w:rFonts w:ascii="微软雅黑" w:eastAsia="微软雅黑" w:hAnsi="微软雅黑" w:cs="微软雅黑" w:hint="eastAsia"/>
                              <w:b/>
                              <w:bCs/>
                              <w:color w:val="252525"/>
                              <w:sz w:val="24"/>
                            </w:rPr>
                            <w:fldChar w:fldCharType="end"/>
                          </w: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lang w:val="zh-CN"/>
                            </w:rPr>
                            <w:fldChar w:fldCharType="begin"/>
                          </w:r>
                          <w:r>
                            <w:rPr>
                              <w:rFonts w:ascii="微软雅黑" w:eastAsia="微软雅黑" w:hAnsi="微软雅黑" w:cs="微软雅黑" w:hint="eastAsia"/>
                              <w:b/>
                              <w:bCs/>
                              <w:color w:val="252525"/>
                              <w:lang w:val="zh-CN"/>
                            </w:rPr>
                            <w:instrText xml:space="preserve"> NUMPAGES </w:instrText>
                          </w:r>
                          <w:r>
                            <w:rPr>
                              <w:rFonts w:ascii="微软雅黑" w:eastAsia="微软雅黑" w:hAnsi="微软雅黑" w:cs="微软雅黑" w:hint="eastAsia"/>
                              <w:b/>
                              <w:bCs/>
                              <w:color w:val="252525"/>
                              <w:lang w:val="zh-CN"/>
                            </w:rPr>
                            <w:fldChar w:fldCharType="separate"/>
                          </w:r>
                          <w:r w:rsidR="00265091">
                            <w:rPr>
                              <w:rFonts w:ascii="微软雅黑" w:eastAsia="微软雅黑" w:hAnsi="微软雅黑" w:cs="微软雅黑"/>
                              <w:b/>
                              <w:bCs/>
                              <w:noProof/>
                              <w:color w:val="252525"/>
                              <w:lang w:val="zh-CN"/>
                            </w:rPr>
                            <w:t>27</w:t>
                          </w:r>
                          <w:r>
                            <w:rPr>
                              <w:rFonts w:ascii="微软雅黑" w:eastAsia="微软雅黑" w:hAnsi="微软雅黑" w:cs="微软雅黑" w:hint="eastAsia"/>
                              <w:b/>
                              <w:bCs/>
                              <w:color w:val="252525"/>
                              <w:lang w:val="zh-CN"/>
                            </w:rP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9" type="#_x0000_t202" style="position:absolute;margin-left:-22.15pt;margin-top:-5.85pt;width:81pt;height:2in;z-index:25165875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" filled="f" stroked="f" strokeweight=".5pt">
              <v:textbox style="mso-fit-shape-to-text:t" inset="0,0,0,0">
                <w:txbxContent>
                  <w:p w:rsidR="00F836E4" w:rsidRDefault="00B228FD">
                    <w:pPr>
                      <w:pStyle w:val="a5"/>
                      <w:ind w:firstLine="440"/>
                      <w:jc w:val="center"/>
                      <w:rPr>
                        <w:rFonts w:ascii="微软雅黑" w:eastAsia="微软雅黑" w:hAnsi="微软雅黑" w:cs="微软雅黑"/>
                        <w:b/>
                        <w:bCs/>
                        <w:color w:val="252525"/>
                      </w:rPr>
                    </w:pP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sz w:val="24"/>
                      </w:rPr>
                      <w:fldChar w:fldCharType="begin"/>
                    </w:r>
                    <w:r>
                      <w:rPr>
                        <w:rFonts w:ascii="微软雅黑" w:eastAsia="微软雅黑" w:hAnsi="微软雅黑" w:cs="微软雅黑" w:hint="eastAsia"/>
                        <w:b/>
                        <w:bCs/>
                        <w:color w:val="252525"/>
                      </w:rPr>
                      <w:instrText>PAGE</w:instrText>
                    </w:r>
                    <w:r>
                      <w:rPr>
                        <w:rFonts w:ascii="微软雅黑" w:eastAsia="微软雅黑" w:hAnsi="微软雅黑" w:cs="微软雅黑" w:hint="eastAsia"/>
                        <w:b/>
                        <w:bCs/>
                        <w:color w:val="252525"/>
                        <w:sz w:val="24"/>
                      </w:rPr>
                      <w:fldChar w:fldCharType="separate"/>
                    </w:r>
                    <w:r w:rsidR="00265091">
                      <w:rPr>
                        <w:rFonts w:ascii="微软雅黑" w:eastAsia="微软雅黑" w:hAnsi="微软雅黑" w:cs="微软雅黑"/>
                        <w:b/>
                        <w:bCs/>
                        <w:noProof/>
                        <w:color w:val="252525"/>
                      </w:rPr>
                      <w:t>23</w:t>
                    </w:r>
                    <w:r>
                      <w:rPr>
                        <w:rFonts w:ascii="微软雅黑" w:eastAsia="微软雅黑" w:hAnsi="微软雅黑" w:cs="微软雅黑" w:hint="eastAsia"/>
                        <w:b/>
                        <w:bCs/>
                        <w:color w:val="252525"/>
                        <w:sz w:val="24"/>
                      </w:rPr>
                      <w:fldChar w:fldCharType="end"/>
                    </w: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lang w:val="zh-CN"/>
                      </w:rPr>
                      <w:t xml:space="preserve">/ </w:t>
                    </w:r>
                    <w:r>
                      <w:rPr>
                        <w:rFonts w:ascii="微软雅黑" w:eastAsia="微软雅黑" w:hAnsi="微软雅黑" w:cs="微软雅黑" w:hint="eastAsia"/>
                        <w:b/>
                        <w:bCs/>
                        <w:color w:val="252525"/>
                        <w:lang w:val="zh-CN"/>
                      </w:rPr>
                      <w:fldChar w:fldCharType="begin"/>
                    </w:r>
                    <w:r>
                      <w:rPr>
                        <w:rFonts w:ascii="微软雅黑" w:eastAsia="微软雅黑" w:hAnsi="微软雅黑" w:cs="微软雅黑" w:hint="eastAsia"/>
                        <w:b/>
                        <w:bCs/>
                        <w:color w:val="252525"/>
                        <w:lang w:val="zh-CN"/>
                      </w:rPr>
                      <w:instrText xml:space="preserve"> NUMPAGES </w:instrText>
                    </w:r>
                    <w:r>
                      <w:rPr>
                        <w:rFonts w:ascii="微软雅黑" w:eastAsia="微软雅黑" w:hAnsi="微软雅黑" w:cs="微软雅黑" w:hint="eastAsia"/>
                        <w:b/>
                        <w:bCs/>
                        <w:color w:val="252525"/>
                        <w:lang w:val="zh-CN"/>
                      </w:rPr>
                      <w:fldChar w:fldCharType="separate"/>
                    </w:r>
                    <w:r w:rsidR="00265091">
                      <w:rPr>
                        <w:rFonts w:ascii="微软雅黑" w:eastAsia="微软雅黑" w:hAnsi="微软雅黑" w:cs="微软雅黑"/>
                        <w:b/>
                        <w:bCs/>
                        <w:noProof/>
                        <w:color w:val="252525"/>
                        <w:lang w:val="zh-CN"/>
                      </w:rPr>
                      <w:t>27</w:t>
                    </w:r>
                    <w:r>
                      <w:rPr>
                        <w:rFonts w:ascii="微软雅黑" w:eastAsia="微软雅黑" w:hAnsi="微软雅黑" w:cs="微软雅黑" w:hint="eastAsia"/>
                        <w:b/>
                        <w:bCs/>
                        <w:color w:val="252525"/>
                        <w:lang w:val="zh-CN"/>
                      </w:rPr>
                      <w:fldChar w:fldCharType="end"/>
                    </w:r>
                  </w:p>
                </w:txbxContent>
              </v:textbox>
              <w10:wrap anchorx="margin"/>
            </v:shape>
          </w:pict>
        </mc:Fallback>
      </mc:AlternateContent>
    </w:r>
    <w:r>
      <w:rPr>
        <w:rFonts w:hint="eastAsia"/>
      </w:rPr>
      <w:t xml:space="preserve">                                                             </w:t>
    </w:r>
    <w:r>
      <w:rPr>
        <w:rFonts w:hint="eastAsia"/>
      </w:rPr>
      <w:t>云南省勘察设计协会</w:t>
    </w:r>
    <w:r>
      <w:rPr>
        <w:rFonts w:hint="eastAsia"/>
      </w:rPr>
      <w:t>/</w:t>
    </w:r>
    <w:proofErr w:type="gramStart"/>
    <w:r>
      <w:rPr>
        <w:rFonts w:hint="eastAsia"/>
      </w:rPr>
      <w:t>天强</w:t>
    </w:r>
    <w:proofErr w:type="gramEnd"/>
    <w:r>
      <w:rPr>
        <w:rFonts w:hint="eastAsia"/>
      </w:rPr>
      <w:t>TACTER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8FD" w:rsidRDefault="00B228FD">
      <w:r>
        <w:separator/>
      </w:r>
    </w:p>
  </w:footnote>
  <w:footnote w:type="continuationSeparator" w:id="0">
    <w:p w:rsidR="00B228FD" w:rsidRDefault="00B228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36E4" w:rsidRDefault="00B228FD">
    <w:pPr>
      <w:pStyle w:val="a6"/>
      <w:pBdr>
        <w:bottom w:val="single" w:sz="6" w:space="0" w:color="auto"/>
      </w:pBdr>
      <w:jc w:val="left"/>
      <w:rPr>
        <w:rFonts w:ascii="微软雅黑" w:hAnsi="微软雅黑"/>
        <w:sz w:val="21"/>
        <w:szCs w:val="21"/>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2921" o:spid="_x0000_s2051" type="#_x0000_t136" style="position:absolute;margin-left:0;margin-top:0;width:629.15pt;height:72.45pt;rotation:-45;z-index:-251656704;mso-position-horizontal:center;mso-position-horizontal-relative:margin;mso-position-vertical:center;mso-position-vertical-relative:margin;mso-width-relative:page;mso-height-relative:page" fillcolor="silver" stroked="f">
          <v:fill opacity=".5"/>
          <v:textpath style="font-family:&quot;华文新魏&quot;;font-size:1in" trim="t" fitpath="t" string="云南省勘察设计协会"/>
          <o:lock v:ext="edit" aspectratio="t"/>
          <w10:wrap anchorx="margin" anchory="margin"/>
        </v:shape>
      </w:pict>
    </w:r>
    <w:r>
      <w:rPr>
        <w:noProof/>
      </w:rPr>
      <mc:AlternateContent>
        <mc:Choice Requires="wps">
          <w:drawing>
            <wp:anchor distT="0" distB="0" distL="114300" distR="114300" simplePos="0" relativeHeight="251656704" behindDoc="0" locked="0" layoutInCell="1" allowOverlap="1">
              <wp:simplePos x="0" y="0"/>
              <wp:positionH relativeFrom="column">
                <wp:posOffset>1872615</wp:posOffset>
              </wp:positionH>
              <wp:positionV relativeFrom="paragraph">
                <wp:posOffset>-42545</wp:posOffset>
              </wp:positionV>
              <wp:extent cx="3340100" cy="4191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340100" cy="419100"/>
                      </a:xfrm>
                      <a:prstGeom prst="rect">
                        <a:avLst/>
                      </a:prstGeom>
                      <a:noFill/>
                      <a:ln w="6350">
                        <a:noFill/>
                      </a:ln>
                    </wps:spPr>
                    <wps:txbx>
                      <w:txbxContent>
                        <w:p w:rsidR="00F836E4" w:rsidRDefault="00B228FD">
                          <w:pPr>
                            <w:jc w:val="right"/>
                            <w:rPr>
                              <w:rFonts w:ascii="微软雅黑" w:eastAsia="微软雅黑" w:hAnsi="微软雅黑" w:cs="微软雅黑"/>
                              <w:color w:val="A5A5A5"/>
                              <w:sz w:val="18"/>
                              <w:szCs w:val="18"/>
                            </w:rPr>
                          </w:pPr>
                          <w:r>
                            <w:rPr>
                              <w:rFonts w:ascii="微软雅黑" w:eastAsia="微软雅黑" w:hAnsi="微软雅黑" w:cs="微软雅黑" w:hint="eastAsia"/>
                              <w:color w:val="A5A5A5"/>
                              <w:sz w:val="18"/>
                              <w:szCs w:val="18"/>
                            </w:rPr>
                            <w:t>云南省工程勘察设计企业受疫情影响调研报告</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147.45pt;margin-top:-3.35pt;height:33pt;width:263pt;z-index:251663360;mso-width-relative:page;mso-height-relative:page;" filled="f" stroked="f" coordsize="21600,21600" o:gfxdata="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">
              <v:fill on="f" focussize="0,0"/>
              <v:stroke on="f" weight="0.5pt"/>
              <v:imagedata o:title=""/>
              <o:lock v:ext="edit" aspectratio="f"/>
              <v:textbox>
                <w:txbxContent>
                  <w:p>
                    <w:pPr>
                      <w:jc w:val="right"/>
                      <w:rPr>
                        <w:rFonts w:ascii="微软雅黑" w:hAnsi="微软雅黑" w:eastAsia="微软雅黑" w:cs="微软雅黑"/>
                        <w:color w:val="A5A5A5"/>
                        <w:sz w:val="18"/>
                        <w:szCs w:val="18"/>
                      </w:rPr>
                    </w:pPr>
                    <w:r>
                      <w:rPr>
                        <w:rFonts w:hint="eastAsia" w:ascii="微软雅黑" w:hAnsi="微软雅黑" w:eastAsia="微软雅黑" w:cs="微软雅黑"/>
                        <w:color w:val="A5A5A5"/>
                        <w:sz w:val="18"/>
                        <w:szCs w:val="18"/>
                      </w:rPr>
                      <w:t>云南省工程勘察设计企业受疫情影响调研报告</w:t>
                    </w:r>
                  </w:p>
                </w:txbxContent>
              </v:textbox>
            </v:shape>
          </w:pict>
        </mc:Fallback>
      </mc:AlternateContent>
    </w:r>
    <w:r>
      <w:rPr>
        <w:noProof/>
      </w:rPr>
      <w:drawing>
        <wp:anchor distT="0" distB="0" distL="114300" distR="114300" simplePos="0" relativeHeight="251655680" behindDoc="1" locked="0" layoutInCell="1" allowOverlap="1">
          <wp:simplePos x="0" y="0"/>
          <wp:positionH relativeFrom="column">
            <wp:posOffset>-1257300</wp:posOffset>
          </wp:positionH>
          <wp:positionV relativeFrom="paragraph">
            <wp:posOffset>4395470</wp:posOffset>
          </wp:positionV>
          <wp:extent cx="4936490" cy="5550535"/>
          <wp:effectExtent l="0" t="0" r="16510" b="12065"/>
          <wp:wrapNone/>
          <wp:docPr id="2" name="图片 11" descr="2019天强页脚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1" descr="2019天强页脚1"/>
                  <pic:cNvPicPr>
                    <a:picLocks noChangeAspect="1"/>
                  </pic:cNvPicPr>
                </pic:nvPicPr>
                <pic:blipFill>
                  <a:blip r:embed="rId1"/>
                  <a:stretch>
                    <a:fillRect/>
                  </a:stretch>
                </pic:blipFill>
                <pic:spPr>
                  <a:xfrm>
                    <a:off x="0" y="0"/>
                    <a:ext cx="4936490" cy="5550535"/>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A6E70"/>
    <w:multiLevelType w:val="multilevel"/>
    <w:tmpl w:val="141A6E70"/>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FF75537"/>
    <w:rsid w:val="BFF75537"/>
    <w:rsid w:val="00003EE1"/>
    <w:rsid w:val="00004801"/>
    <w:rsid w:val="000125B4"/>
    <w:rsid w:val="000242B1"/>
    <w:rsid w:val="00032212"/>
    <w:rsid w:val="00032ACE"/>
    <w:rsid w:val="00034BEC"/>
    <w:rsid w:val="00041C1C"/>
    <w:rsid w:val="000551A9"/>
    <w:rsid w:val="0008386E"/>
    <w:rsid w:val="00084988"/>
    <w:rsid w:val="00086364"/>
    <w:rsid w:val="000873C0"/>
    <w:rsid w:val="00095586"/>
    <w:rsid w:val="00095C1F"/>
    <w:rsid w:val="000A5DD9"/>
    <w:rsid w:val="000B7C70"/>
    <w:rsid w:val="000C203D"/>
    <w:rsid w:val="000D5827"/>
    <w:rsid w:val="000D6806"/>
    <w:rsid w:val="000D73A6"/>
    <w:rsid w:val="000E3136"/>
    <w:rsid w:val="000E32AD"/>
    <w:rsid w:val="000E5784"/>
    <w:rsid w:val="001355EE"/>
    <w:rsid w:val="00136CD4"/>
    <w:rsid w:val="001474B3"/>
    <w:rsid w:val="00194D9C"/>
    <w:rsid w:val="001A4058"/>
    <w:rsid w:val="001A65C3"/>
    <w:rsid w:val="001C7E7F"/>
    <w:rsid w:val="001D1508"/>
    <w:rsid w:val="001D1AE6"/>
    <w:rsid w:val="001E2EAE"/>
    <w:rsid w:val="001E6ABA"/>
    <w:rsid w:val="001F3D48"/>
    <w:rsid w:val="00207793"/>
    <w:rsid w:val="00211181"/>
    <w:rsid w:val="00234B6D"/>
    <w:rsid w:val="0023743A"/>
    <w:rsid w:val="00240DC6"/>
    <w:rsid w:val="002437A1"/>
    <w:rsid w:val="00256D6E"/>
    <w:rsid w:val="002572F2"/>
    <w:rsid w:val="00265091"/>
    <w:rsid w:val="00265A77"/>
    <w:rsid w:val="002824EC"/>
    <w:rsid w:val="0029768E"/>
    <w:rsid w:val="002A7508"/>
    <w:rsid w:val="002C374A"/>
    <w:rsid w:val="002E7C87"/>
    <w:rsid w:val="002F1FD5"/>
    <w:rsid w:val="002F50FA"/>
    <w:rsid w:val="002F536C"/>
    <w:rsid w:val="003030CB"/>
    <w:rsid w:val="0030755A"/>
    <w:rsid w:val="00324EDA"/>
    <w:rsid w:val="003253C6"/>
    <w:rsid w:val="0033317B"/>
    <w:rsid w:val="00343F19"/>
    <w:rsid w:val="0035354D"/>
    <w:rsid w:val="00367823"/>
    <w:rsid w:val="003965E9"/>
    <w:rsid w:val="003B0F86"/>
    <w:rsid w:val="003D0241"/>
    <w:rsid w:val="003D5A25"/>
    <w:rsid w:val="003D71D7"/>
    <w:rsid w:val="003E2937"/>
    <w:rsid w:val="003E6D50"/>
    <w:rsid w:val="00406D26"/>
    <w:rsid w:val="004075ED"/>
    <w:rsid w:val="0041578C"/>
    <w:rsid w:val="00425EC3"/>
    <w:rsid w:val="00430A42"/>
    <w:rsid w:val="00446B88"/>
    <w:rsid w:val="00450DCA"/>
    <w:rsid w:val="0045681A"/>
    <w:rsid w:val="00456F6C"/>
    <w:rsid w:val="0046191E"/>
    <w:rsid w:val="00492419"/>
    <w:rsid w:val="0049341B"/>
    <w:rsid w:val="00495CC3"/>
    <w:rsid w:val="004B0218"/>
    <w:rsid w:val="004B0619"/>
    <w:rsid w:val="004B5470"/>
    <w:rsid w:val="004B723B"/>
    <w:rsid w:val="004E59C5"/>
    <w:rsid w:val="004F58ED"/>
    <w:rsid w:val="00505B43"/>
    <w:rsid w:val="005170FD"/>
    <w:rsid w:val="0051734C"/>
    <w:rsid w:val="0052292F"/>
    <w:rsid w:val="00533EC6"/>
    <w:rsid w:val="005374B0"/>
    <w:rsid w:val="00552E4B"/>
    <w:rsid w:val="005668B8"/>
    <w:rsid w:val="00582129"/>
    <w:rsid w:val="00582E75"/>
    <w:rsid w:val="00583C55"/>
    <w:rsid w:val="00584DB7"/>
    <w:rsid w:val="00596ADC"/>
    <w:rsid w:val="005B063E"/>
    <w:rsid w:val="005B512D"/>
    <w:rsid w:val="005C0D44"/>
    <w:rsid w:val="005D1DD9"/>
    <w:rsid w:val="005D51A7"/>
    <w:rsid w:val="005D659E"/>
    <w:rsid w:val="005F3BF8"/>
    <w:rsid w:val="00610B75"/>
    <w:rsid w:val="006132CE"/>
    <w:rsid w:val="0061574F"/>
    <w:rsid w:val="00661A12"/>
    <w:rsid w:val="00661C37"/>
    <w:rsid w:val="00664025"/>
    <w:rsid w:val="006771F6"/>
    <w:rsid w:val="00677F06"/>
    <w:rsid w:val="00681CA6"/>
    <w:rsid w:val="00686F55"/>
    <w:rsid w:val="00691DBC"/>
    <w:rsid w:val="006A687A"/>
    <w:rsid w:val="006B75BD"/>
    <w:rsid w:val="006C42B3"/>
    <w:rsid w:val="006D79B1"/>
    <w:rsid w:val="006D7E1D"/>
    <w:rsid w:val="006E2BC1"/>
    <w:rsid w:val="006E7CB5"/>
    <w:rsid w:val="006F6D7F"/>
    <w:rsid w:val="007120B0"/>
    <w:rsid w:val="00716468"/>
    <w:rsid w:val="00725E87"/>
    <w:rsid w:val="00726826"/>
    <w:rsid w:val="0073364C"/>
    <w:rsid w:val="00735353"/>
    <w:rsid w:val="00742618"/>
    <w:rsid w:val="00750F30"/>
    <w:rsid w:val="00762EC4"/>
    <w:rsid w:val="007642E6"/>
    <w:rsid w:val="00770EDD"/>
    <w:rsid w:val="007804DF"/>
    <w:rsid w:val="007A5899"/>
    <w:rsid w:val="007B369C"/>
    <w:rsid w:val="007E3553"/>
    <w:rsid w:val="00800257"/>
    <w:rsid w:val="008513AF"/>
    <w:rsid w:val="0085585E"/>
    <w:rsid w:val="00865D26"/>
    <w:rsid w:val="00866172"/>
    <w:rsid w:val="00867836"/>
    <w:rsid w:val="0087787F"/>
    <w:rsid w:val="0088394D"/>
    <w:rsid w:val="00891C95"/>
    <w:rsid w:val="008C2C04"/>
    <w:rsid w:val="008C41FC"/>
    <w:rsid w:val="008C5AD5"/>
    <w:rsid w:val="008F6D5D"/>
    <w:rsid w:val="008F6FDB"/>
    <w:rsid w:val="0090114E"/>
    <w:rsid w:val="00917AB5"/>
    <w:rsid w:val="0092482F"/>
    <w:rsid w:val="009411A4"/>
    <w:rsid w:val="00942B7A"/>
    <w:rsid w:val="009520FE"/>
    <w:rsid w:val="009702A4"/>
    <w:rsid w:val="00982749"/>
    <w:rsid w:val="00985702"/>
    <w:rsid w:val="00990896"/>
    <w:rsid w:val="009951CC"/>
    <w:rsid w:val="009A11DC"/>
    <w:rsid w:val="009B2FB6"/>
    <w:rsid w:val="009C10A6"/>
    <w:rsid w:val="009C6706"/>
    <w:rsid w:val="009D0A65"/>
    <w:rsid w:val="009D6C30"/>
    <w:rsid w:val="009E05C4"/>
    <w:rsid w:val="00A02A47"/>
    <w:rsid w:val="00A1453E"/>
    <w:rsid w:val="00A1515C"/>
    <w:rsid w:val="00A229F3"/>
    <w:rsid w:val="00A26C56"/>
    <w:rsid w:val="00A37894"/>
    <w:rsid w:val="00A41AA2"/>
    <w:rsid w:val="00A4435E"/>
    <w:rsid w:val="00A518BE"/>
    <w:rsid w:val="00A53043"/>
    <w:rsid w:val="00A54BA5"/>
    <w:rsid w:val="00A5754F"/>
    <w:rsid w:val="00A6210D"/>
    <w:rsid w:val="00A7242D"/>
    <w:rsid w:val="00A77CD2"/>
    <w:rsid w:val="00A77F52"/>
    <w:rsid w:val="00A83753"/>
    <w:rsid w:val="00A9229E"/>
    <w:rsid w:val="00AB59F8"/>
    <w:rsid w:val="00AD6A89"/>
    <w:rsid w:val="00AE67A7"/>
    <w:rsid w:val="00B02A76"/>
    <w:rsid w:val="00B05BF7"/>
    <w:rsid w:val="00B12B5A"/>
    <w:rsid w:val="00B14D6D"/>
    <w:rsid w:val="00B2047F"/>
    <w:rsid w:val="00B228FD"/>
    <w:rsid w:val="00B24B8F"/>
    <w:rsid w:val="00B40BCF"/>
    <w:rsid w:val="00B578E1"/>
    <w:rsid w:val="00B8354F"/>
    <w:rsid w:val="00BA50B3"/>
    <w:rsid w:val="00BA7D91"/>
    <w:rsid w:val="00BB18BA"/>
    <w:rsid w:val="00BB2156"/>
    <w:rsid w:val="00BB5052"/>
    <w:rsid w:val="00BC0035"/>
    <w:rsid w:val="00BD2C7D"/>
    <w:rsid w:val="00BE02FC"/>
    <w:rsid w:val="00C00A42"/>
    <w:rsid w:val="00C12DB2"/>
    <w:rsid w:val="00C428D9"/>
    <w:rsid w:val="00C4562F"/>
    <w:rsid w:val="00C4612B"/>
    <w:rsid w:val="00C5540A"/>
    <w:rsid w:val="00C57040"/>
    <w:rsid w:val="00C63272"/>
    <w:rsid w:val="00C63308"/>
    <w:rsid w:val="00C765F6"/>
    <w:rsid w:val="00C87291"/>
    <w:rsid w:val="00C92E18"/>
    <w:rsid w:val="00C9394F"/>
    <w:rsid w:val="00CA25EC"/>
    <w:rsid w:val="00CB1236"/>
    <w:rsid w:val="00CB2F79"/>
    <w:rsid w:val="00CB4346"/>
    <w:rsid w:val="00CF44D9"/>
    <w:rsid w:val="00CF5CD2"/>
    <w:rsid w:val="00D05020"/>
    <w:rsid w:val="00D12BBC"/>
    <w:rsid w:val="00D14967"/>
    <w:rsid w:val="00D214FD"/>
    <w:rsid w:val="00D22C99"/>
    <w:rsid w:val="00D257F0"/>
    <w:rsid w:val="00D27F64"/>
    <w:rsid w:val="00D30597"/>
    <w:rsid w:val="00D3333D"/>
    <w:rsid w:val="00D33625"/>
    <w:rsid w:val="00D4124E"/>
    <w:rsid w:val="00D437DE"/>
    <w:rsid w:val="00D445DC"/>
    <w:rsid w:val="00D525F8"/>
    <w:rsid w:val="00D55425"/>
    <w:rsid w:val="00D60D10"/>
    <w:rsid w:val="00D624C9"/>
    <w:rsid w:val="00D80C3E"/>
    <w:rsid w:val="00D87610"/>
    <w:rsid w:val="00D903CD"/>
    <w:rsid w:val="00D9061A"/>
    <w:rsid w:val="00D93846"/>
    <w:rsid w:val="00DA435C"/>
    <w:rsid w:val="00DA4852"/>
    <w:rsid w:val="00DA5137"/>
    <w:rsid w:val="00DB648F"/>
    <w:rsid w:val="00DC399E"/>
    <w:rsid w:val="00DD5669"/>
    <w:rsid w:val="00DF0671"/>
    <w:rsid w:val="00DF7E59"/>
    <w:rsid w:val="00E04681"/>
    <w:rsid w:val="00E15C7A"/>
    <w:rsid w:val="00E32DB2"/>
    <w:rsid w:val="00E36554"/>
    <w:rsid w:val="00E4072F"/>
    <w:rsid w:val="00E54660"/>
    <w:rsid w:val="00E663AD"/>
    <w:rsid w:val="00E67134"/>
    <w:rsid w:val="00E73961"/>
    <w:rsid w:val="00E746A9"/>
    <w:rsid w:val="00E80B40"/>
    <w:rsid w:val="00E816C4"/>
    <w:rsid w:val="00E93EF7"/>
    <w:rsid w:val="00EA2D6C"/>
    <w:rsid w:val="00EB7F8D"/>
    <w:rsid w:val="00ED127C"/>
    <w:rsid w:val="00EE01C3"/>
    <w:rsid w:val="00EE566A"/>
    <w:rsid w:val="00EF0888"/>
    <w:rsid w:val="00EF7F8D"/>
    <w:rsid w:val="00F01733"/>
    <w:rsid w:val="00F0260E"/>
    <w:rsid w:val="00F03895"/>
    <w:rsid w:val="00F03D5E"/>
    <w:rsid w:val="00F23969"/>
    <w:rsid w:val="00F24496"/>
    <w:rsid w:val="00F25724"/>
    <w:rsid w:val="00F318A2"/>
    <w:rsid w:val="00F6562F"/>
    <w:rsid w:val="00F71B20"/>
    <w:rsid w:val="00F743C2"/>
    <w:rsid w:val="00F832B1"/>
    <w:rsid w:val="00F836E4"/>
    <w:rsid w:val="00F83887"/>
    <w:rsid w:val="00F84E99"/>
    <w:rsid w:val="00F90D93"/>
    <w:rsid w:val="00F935B3"/>
    <w:rsid w:val="00F94651"/>
    <w:rsid w:val="00FA5990"/>
    <w:rsid w:val="00FB2967"/>
    <w:rsid w:val="00FB47CD"/>
    <w:rsid w:val="00FB4F08"/>
    <w:rsid w:val="00FC1C37"/>
    <w:rsid w:val="00FD5B4C"/>
    <w:rsid w:val="00FD71D4"/>
    <w:rsid w:val="00FE79F7"/>
    <w:rsid w:val="09B3796E"/>
    <w:rsid w:val="3475764B"/>
    <w:rsid w:val="37FE4EC1"/>
    <w:rsid w:val="39764D4A"/>
    <w:rsid w:val="55B87C28"/>
    <w:rsid w:val="64FF7FD4"/>
    <w:rsid w:val="7BD391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宋体" w:hAnsi="宋体" w:cs="宋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pPr>
      <w:jc w:val="both"/>
    </w:pPr>
    <w:rPr>
      <w:rFonts w:asciiTheme="majorHAnsi" w:eastAsia="黑体" w:hAnsiTheme="majorHAnsi" w:cstheme="majorBidi"/>
      <w:kern w:val="2"/>
      <w:sz w:val="20"/>
      <w:szCs w:val="20"/>
    </w:rPr>
  </w:style>
  <w:style w:type="paragraph" w:styleId="a4">
    <w:name w:val="Balloon Text"/>
    <w:basedOn w:val="a"/>
    <w:link w:val="Char"/>
    <w:qFormat/>
    <w:rPr>
      <w:sz w:val="18"/>
      <w:szCs w:val="18"/>
    </w:rPr>
  </w:style>
  <w:style w:type="paragraph" w:styleId="a5">
    <w:name w:val="footer"/>
    <w:basedOn w:val="a"/>
    <w:qFormat/>
    <w:pPr>
      <w:widowControl w:val="0"/>
      <w:tabs>
        <w:tab w:val="center" w:pos="4153"/>
        <w:tab w:val="right" w:pos="8306"/>
      </w:tabs>
      <w:snapToGrid w:val="0"/>
    </w:pPr>
    <w:rPr>
      <w:rFonts w:ascii="Times New Roman" w:hAnsi="Times New Roman" w:cs="Times New Roman"/>
      <w:kern w:val="2"/>
      <w:sz w:val="18"/>
    </w:rPr>
  </w:style>
  <w:style w:type="paragraph" w:styleId="a6">
    <w:name w:val="header"/>
    <w:basedOn w:val="a"/>
    <w:qFormat/>
    <w:pPr>
      <w:widowControl w:val="0"/>
      <w:pBdr>
        <w:top w:val="none" w:sz="0" w:space="1" w:color="auto"/>
        <w:left w:val="none" w:sz="0" w:space="4" w:color="auto"/>
        <w:bottom w:val="none" w:sz="0" w:space="1" w:color="auto"/>
        <w:right w:val="none" w:sz="0" w:space="4" w:color="auto"/>
      </w:pBdr>
      <w:tabs>
        <w:tab w:val="center" w:pos="4153"/>
        <w:tab w:val="right" w:pos="8306"/>
      </w:tabs>
      <w:snapToGrid w:val="0"/>
      <w:jc w:val="both"/>
    </w:pPr>
    <w:rPr>
      <w:rFonts w:ascii="DejaVu Sans" w:hAnsi="DejaVu Sans" w:cs="Times New Roman"/>
      <w:kern w:val="2"/>
      <w:sz w:val="18"/>
    </w:rPr>
  </w:style>
  <w:style w:type="table" w:styleId="a7">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5">
    <w:name w:val="_Style 45"/>
    <w:qFormat/>
    <w:rPr>
      <w:rFonts w:ascii="Calibri" w:hAnsi="Calibri" w:cs="Times New Roman"/>
      <w:sz w:val="22"/>
      <w:szCs w:val="22"/>
    </w:rPr>
  </w:style>
  <w:style w:type="paragraph" w:customStyle="1" w:styleId="1">
    <w:name w:val="列表段落1"/>
    <w:basedOn w:val="a"/>
    <w:uiPriority w:val="34"/>
    <w:qFormat/>
    <w:pPr>
      <w:widowControl w:val="0"/>
      <w:ind w:firstLineChars="200" w:firstLine="420"/>
      <w:jc w:val="both"/>
    </w:pPr>
    <w:rPr>
      <w:rFonts w:ascii="Times New Roman" w:hAnsi="Times New Roman" w:cs="Times New Roman"/>
      <w:kern w:val="2"/>
      <w:sz w:val="21"/>
    </w:rPr>
  </w:style>
  <w:style w:type="paragraph" w:styleId="a8">
    <w:name w:val="List Paragraph"/>
    <w:basedOn w:val="a"/>
    <w:uiPriority w:val="99"/>
    <w:qFormat/>
    <w:pPr>
      <w:widowControl w:val="0"/>
      <w:ind w:firstLineChars="200" w:firstLine="420"/>
      <w:jc w:val="both"/>
    </w:pPr>
    <w:rPr>
      <w:rFonts w:ascii="Times New Roman" w:hAnsi="Times New Roman" w:cs="Times New Roman"/>
      <w:kern w:val="2"/>
      <w:sz w:val="21"/>
    </w:rPr>
  </w:style>
  <w:style w:type="character" w:customStyle="1" w:styleId="Char">
    <w:name w:val="批注框文本 Char"/>
    <w:basedOn w:val="a0"/>
    <w:link w:val="a4"/>
    <w:qFormat/>
    <w:rPr>
      <w:rFonts w:ascii="宋体" w:eastAsia="宋体" w:hAnsi="宋体" w:cs="宋体"/>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宋体" w:hAnsi="宋体" w:cs="宋体"/>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pPr>
      <w:jc w:val="both"/>
    </w:pPr>
    <w:rPr>
      <w:rFonts w:asciiTheme="majorHAnsi" w:eastAsia="黑体" w:hAnsiTheme="majorHAnsi" w:cstheme="majorBidi"/>
      <w:kern w:val="2"/>
      <w:sz w:val="20"/>
      <w:szCs w:val="20"/>
    </w:rPr>
  </w:style>
  <w:style w:type="paragraph" w:styleId="a4">
    <w:name w:val="Balloon Text"/>
    <w:basedOn w:val="a"/>
    <w:link w:val="Char"/>
    <w:qFormat/>
    <w:rPr>
      <w:sz w:val="18"/>
      <w:szCs w:val="18"/>
    </w:rPr>
  </w:style>
  <w:style w:type="paragraph" w:styleId="a5">
    <w:name w:val="footer"/>
    <w:basedOn w:val="a"/>
    <w:qFormat/>
    <w:pPr>
      <w:widowControl w:val="0"/>
      <w:tabs>
        <w:tab w:val="center" w:pos="4153"/>
        <w:tab w:val="right" w:pos="8306"/>
      </w:tabs>
      <w:snapToGrid w:val="0"/>
    </w:pPr>
    <w:rPr>
      <w:rFonts w:ascii="Times New Roman" w:hAnsi="Times New Roman" w:cs="Times New Roman"/>
      <w:kern w:val="2"/>
      <w:sz w:val="18"/>
    </w:rPr>
  </w:style>
  <w:style w:type="paragraph" w:styleId="a6">
    <w:name w:val="header"/>
    <w:basedOn w:val="a"/>
    <w:qFormat/>
    <w:pPr>
      <w:widowControl w:val="0"/>
      <w:pBdr>
        <w:top w:val="none" w:sz="0" w:space="1" w:color="auto"/>
        <w:left w:val="none" w:sz="0" w:space="4" w:color="auto"/>
        <w:bottom w:val="none" w:sz="0" w:space="1" w:color="auto"/>
        <w:right w:val="none" w:sz="0" w:space="4" w:color="auto"/>
      </w:pBdr>
      <w:tabs>
        <w:tab w:val="center" w:pos="4153"/>
        <w:tab w:val="right" w:pos="8306"/>
      </w:tabs>
      <w:snapToGrid w:val="0"/>
      <w:jc w:val="both"/>
    </w:pPr>
    <w:rPr>
      <w:rFonts w:ascii="DejaVu Sans" w:hAnsi="DejaVu Sans" w:cs="Times New Roman"/>
      <w:kern w:val="2"/>
      <w:sz w:val="18"/>
    </w:rPr>
  </w:style>
  <w:style w:type="table" w:styleId="a7">
    <w:name w:val="Table Grid"/>
    <w:basedOn w:val="a1"/>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45">
    <w:name w:val="_Style 45"/>
    <w:qFormat/>
    <w:rPr>
      <w:rFonts w:ascii="Calibri" w:hAnsi="Calibri" w:cs="Times New Roman"/>
      <w:sz w:val="22"/>
      <w:szCs w:val="22"/>
    </w:rPr>
  </w:style>
  <w:style w:type="paragraph" w:customStyle="1" w:styleId="1">
    <w:name w:val="列表段落1"/>
    <w:basedOn w:val="a"/>
    <w:uiPriority w:val="34"/>
    <w:qFormat/>
    <w:pPr>
      <w:widowControl w:val="0"/>
      <w:ind w:firstLineChars="200" w:firstLine="420"/>
      <w:jc w:val="both"/>
    </w:pPr>
    <w:rPr>
      <w:rFonts w:ascii="Times New Roman" w:hAnsi="Times New Roman" w:cs="Times New Roman"/>
      <w:kern w:val="2"/>
      <w:sz w:val="21"/>
    </w:rPr>
  </w:style>
  <w:style w:type="paragraph" w:styleId="a8">
    <w:name w:val="List Paragraph"/>
    <w:basedOn w:val="a"/>
    <w:uiPriority w:val="99"/>
    <w:qFormat/>
    <w:pPr>
      <w:widowControl w:val="0"/>
      <w:ind w:firstLineChars="200" w:firstLine="420"/>
      <w:jc w:val="both"/>
    </w:pPr>
    <w:rPr>
      <w:rFonts w:ascii="Times New Roman" w:hAnsi="Times New Roman" w:cs="Times New Roman"/>
      <w:kern w:val="2"/>
      <w:sz w:val="21"/>
    </w:rPr>
  </w:style>
  <w:style w:type="character" w:customStyle="1" w:styleId="Char">
    <w:name w:val="批注框文本 Char"/>
    <w:basedOn w:val="a0"/>
    <w:link w:val="a4"/>
    <w:qFormat/>
    <w:rPr>
      <w:rFonts w:ascii="宋体" w:eastAsia="宋体" w:hAnsi="宋体" w:cs="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chart" Target="charts/chart2.xml"/><Relationship Id="rId26" Type="http://schemas.openxmlformats.org/officeDocument/2006/relationships/chart" Target="charts/chart10.xml"/><Relationship Id="rId39" Type="http://schemas.openxmlformats.org/officeDocument/2006/relationships/image" Target="media/image6.jpeg"/><Relationship Id="rId3" Type="http://schemas.openxmlformats.org/officeDocument/2006/relationships/numbering" Target="numbering.xml"/><Relationship Id="rId21" Type="http://schemas.openxmlformats.org/officeDocument/2006/relationships/chart" Target="charts/chart5.xml"/><Relationship Id="rId34" Type="http://schemas.openxmlformats.org/officeDocument/2006/relationships/chart" Target="charts/chart18.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chart" Target="charts/chart9.xml"/><Relationship Id="rId33" Type="http://schemas.openxmlformats.org/officeDocument/2006/relationships/chart" Target="charts/chart17.xml"/><Relationship Id="rId38"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4.xml"/><Relationship Id="rId29" Type="http://schemas.openxmlformats.org/officeDocument/2006/relationships/chart" Target="charts/chart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chart" Target="charts/chart8.xml"/><Relationship Id="rId32" Type="http://schemas.openxmlformats.org/officeDocument/2006/relationships/chart" Target="charts/chart16.xml"/><Relationship Id="rId37" Type="http://schemas.openxmlformats.org/officeDocument/2006/relationships/chart" Target="charts/chart21.xml"/><Relationship Id="rId40"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1.xml"/><Relationship Id="rId23" Type="http://schemas.openxmlformats.org/officeDocument/2006/relationships/chart" Target="charts/chart7.xml"/><Relationship Id="rId28" Type="http://schemas.openxmlformats.org/officeDocument/2006/relationships/chart" Target="charts/chart12.xml"/><Relationship Id="rId36" Type="http://schemas.openxmlformats.org/officeDocument/2006/relationships/chart" Target="charts/chart20.xml"/><Relationship Id="rId10" Type="http://schemas.openxmlformats.org/officeDocument/2006/relationships/image" Target="media/image1.png"/><Relationship Id="rId19" Type="http://schemas.openxmlformats.org/officeDocument/2006/relationships/chart" Target="charts/chart3.xml"/><Relationship Id="rId31" Type="http://schemas.openxmlformats.org/officeDocument/2006/relationships/chart" Target="charts/chart1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chart" Target="charts/chart6.xml"/><Relationship Id="rId27" Type="http://schemas.openxmlformats.org/officeDocument/2006/relationships/chart" Target="charts/chart11.xml"/><Relationship Id="rId30" Type="http://schemas.openxmlformats.org/officeDocument/2006/relationships/chart" Target="charts/chart14.xml"/><Relationship Id="rId35" Type="http://schemas.openxmlformats.org/officeDocument/2006/relationships/chart" Target="charts/chart19.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24037;&#20316;&#31807;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Yongchen\Desktop\Tacter\&#20020;&#26102;\&#20113;&#21335;&#30465;&#35843;&#26597;&#25968;&#25454;&#22788;&#297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bestFit"/>
            <c:showLegendKey val="0"/>
            <c:showVal val="1"/>
            <c:showCatName val="1"/>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Sheet1!$A$1:$A$6</c:f>
              <c:strCache>
                <c:ptCount val="6"/>
                <c:pt idx="0">
                  <c:v>民营企业</c:v>
                </c:pt>
                <c:pt idx="1">
                  <c:v>国有企业</c:v>
                </c:pt>
                <c:pt idx="2">
                  <c:v>事业单位</c:v>
                </c:pt>
                <c:pt idx="3">
                  <c:v>全民所有制</c:v>
                </c:pt>
                <c:pt idx="4">
                  <c:v>其他</c:v>
                </c:pt>
                <c:pt idx="5">
                  <c:v>外资/合资</c:v>
                </c:pt>
              </c:strCache>
            </c:strRef>
          </c:cat>
          <c:val>
            <c:numRef>
              <c:f>Sheet1!$B$1:$B$6</c:f>
              <c:numCache>
                <c:formatCode>0.0%</c:formatCode>
                <c:ptCount val="6"/>
                <c:pt idx="0">
                  <c:v>0.54100000000000004</c:v>
                </c:pt>
                <c:pt idx="1">
                  <c:v>0.25679999999999997</c:v>
                </c:pt>
                <c:pt idx="2">
                  <c:v>8.1100000000000005E-2</c:v>
                </c:pt>
                <c:pt idx="3">
                  <c:v>6.7599999999999993E-2</c:v>
                </c:pt>
                <c:pt idx="4">
                  <c:v>4.7300000000000002E-2</c:v>
                </c:pt>
                <c:pt idx="5">
                  <c:v>6.7999999999999996E-3</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bestFit"/>
            <c:showLegendKey val="0"/>
            <c:showVal val="1"/>
            <c:showCatName val="1"/>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Sheet1!$A$1:$A$6</c:f>
              <c:strCache>
                <c:ptCount val="6"/>
                <c:pt idx="0">
                  <c:v>民营企业</c:v>
                </c:pt>
                <c:pt idx="1">
                  <c:v>国有企业</c:v>
                </c:pt>
                <c:pt idx="2">
                  <c:v>事业单位</c:v>
                </c:pt>
                <c:pt idx="3">
                  <c:v>全民所有制</c:v>
                </c:pt>
                <c:pt idx="4">
                  <c:v>其他</c:v>
                </c:pt>
                <c:pt idx="5">
                  <c:v>外资/合资</c:v>
                </c:pt>
              </c:strCache>
            </c:strRef>
          </c:cat>
          <c:val>
            <c:numRef>
              <c:f>Sheet1!$B$1:$B$6</c:f>
              <c:numCache>
                <c:formatCode>0.0%</c:formatCode>
                <c:ptCount val="6"/>
                <c:pt idx="0">
                  <c:v>0.54100000000000004</c:v>
                </c:pt>
                <c:pt idx="1">
                  <c:v>0.25679999999999997</c:v>
                </c:pt>
                <c:pt idx="2">
                  <c:v>8.1100000000000005E-2</c:v>
                </c:pt>
                <c:pt idx="3">
                  <c:v>6.7599999999999993E-2</c:v>
                </c:pt>
                <c:pt idx="4">
                  <c:v>4.7300000000000002E-2</c:v>
                </c:pt>
                <c:pt idx="5">
                  <c:v>6.7999999999999996E-3</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Pt>
            <c:idx val="6"/>
            <c:bubble3D val="0"/>
            <c:spPr>
              <a:solidFill>
                <a:schemeClr val="accent1">
                  <a:lumMod val="60000"/>
                </a:schemeClr>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bestFit"/>
            <c:showLegendKey val="0"/>
            <c:showVal val="1"/>
            <c:showCatName val="1"/>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Sheet1!$A$18:$A$24</c:f>
              <c:strCache>
                <c:ptCount val="7"/>
                <c:pt idx="0">
                  <c:v>建筑设计类</c:v>
                </c:pt>
                <c:pt idx="1">
                  <c:v>工程勘察类</c:v>
                </c:pt>
                <c:pt idx="2">
                  <c:v>专项设计类</c:v>
                </c:pt>
                <c:pt idx="3">
                  <c:v>其他</c:v>
                </c:pt>
                <c:pt idx="4">
                  <c:v>工业工程设计类</c:v>
                </c:pt>
                <c:pt idx="5">
                  <c:v>市政设计类</c:v>
                </c:pt>
                <c:pt idx="6">
                  <c:v>交通设计类</c:v>
                </c:pt>
              </c:strCache>
            </c:strRef>
          </c:cat>
          <c:val>
            <c:numRef>
              <c:f>Sheet1!$B$18:$B$24</c:f>
              <c:numCache>
                <c:formatCode>0.0%</c:formatCode>
                <c:ptCount val="7"/>
                <c:pt idx="0">
                  <c:v>0.40540540540540498</c:v>
                </c:pt>
                <c:pt idx="1">
                  <c:v>0.22972972972972999</c:v>
                </c:pt>
                <c:pt idx="2">
                  <c:v>0.135135135135135</c:v>
                </c:pt>
                <c:pt idx="3">
                  <c:v>0.12837837837837801</c:v>
                </c:pt>
                <c:pt idx="4">
                  <c:v>4.72972972972973E-2</c:v>
                </c:pt>
                <c:pt idx="5">
                  <c:v>2.7027027027027001E-2</c:v>
                </c:pt>
                <c:pt idx="6">
                  <c:v>2.7027027027027001E-2</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Sheet1!$M$1:$M$4</c:f>
              <c:strCache>
                <c:ptCount val="4"/>
                <c:pt idx="0">
                  <c:v>80%及以上</c:v>
                </c:pt>
                <c:pt idx="1">
                  <c:v>50% - 80%</c:v>
                </c:pt>
                <c:pt idx="2">
                  <c:v>30% - 50%</c:v>
                </c:pt>
                <c:pt idx="3">
                  <c:v>30%以下</c:v>
                </c:pt>
              </c:strCache>
            </c:strRef>
          </c:cat>
          <c:val>
            <c:numRef>
              <c:f>Sheet1!$N$1:$N$4</c:f>
              <c:numCache>
                <c:formatCode>0.0%</c:formatCode>
                <c:ptCount val="4"/>
                <c:pt idx="0">
                  <c:v>0.121621621621622</c:v>
                </c:pt>
                <c:pt idx="1">
                  <c:v>0.135135135135135</c:v>
                </c:pt>
                <c:pt idx="2">
                  <c:v>0.23648648648648599</c:v>
                </c:pt>
                <c:pt idx="3">
                  <c:v>0.50675675675675702</c:v>
                </c:pt>
              </c:numCache>
            </c:numRef>
          </c:val>
        </c:ser>
        <c:dLbls>
          <c:showLegendKey val="0"/>
          <c:showVal val="1"/>
          <c:showCatName val="0"/>
          <c:showSerName val="0"/>
          <c:showPercent val="0"/>
          <c:showBubbleSize val="0"/>
        </c:dLbls>
        <c:gapWidth val="182"/>
        <c:axId val="350534272"/>
        <c:axId val="350889472"/>
      </c:barChart>
      <c:catAx>
        <c:axId val="350534272"/>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50889472"/>
        <c:crosses val="autoZero"/>
        <c:auto val="1"/>
        <c:lblAlgn val="ctr"/>
        <c:lblOffset val="100"/>
        <c:noMultiLvlLbl val="0"/>
      </c:catAx>
      <c:valAx>
        <c:axId val="350889472"/>
        <c:scaling>
          <c:orientation val="minMax"/>
        </c:scaling>
        <c:delete val="1"/>
        <c:axPos val="b"/>
        <c:numFmt formatCode="0.0%" sourceLinked="1"/>
        <c:majorTickMark val="out"/>
        <c:minorTickMark val="none"/>
        <c:tickLblPos val="nextTo"/>
        <c:crossAx val="35053427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Sheet1!$N$21:$N$33</c:f>
              <c:strCache>
                <c:ptCount val="13"/>
                <c:pt idx="0">
                  <c:v>人才招聘压力加大</c:v>
                </c:pt>
                <c:pt idx="1">
                  <c:v>服务产品开发</c:v>
                </c:pt>
                <c:pt idx="2">
                  <c:v>促进企业业务转型升级</c:v>
                </c:pt>
                <c:pt idx="3">
                  <c:v>促进企业公司治理优化</c:v>
                </c:pt>
                <c:pt idx="4">
                  <c:v>促进企业凝聚力加强</c:v>
                </c:pt>
                <c:pt idx="5">
                  <c:v>线上工作统筹安排困难，内部信息化需升级</c:v>
                </c:pt>
                <c:pt idx="6">
                  <c:v>促进企业内部管理精细度提升</c:v>
                </c:pt>
                <c:pt idx="7">
                  <c:v>促进企业信息化建设进度加快</c:v>
                </c:pt>
                <c:pt idx="8">
                  <c:v>生产组织协作难</c:v>
                </c:pt>
                <c:pt idx="9">
                  <c:v>企业经营成本增加</c:v>
                </c:pt>
                <c:pt idx="10">
                  <c:v>客户服务进度延迟</c:v>
                </c:pt>
                <c:pt idx="11">
                  <c:v>企业市场开发压力增长</c:v>
                </c:pt>
                <c:pt idx="12">
                  <c:v>企业回款困难，现金流压力加大</c:v>
                </c:pt>
              </c:strCache>
            </c:strRef>
          </c:cat>
          <c:val>
            <c:numRef>
              <c:f>Sheet1!$O$21:$O$33</c:f>
              <c:numCache>
                <c:formatCode>General</c:formatCode>
                <c:ptCount val="13"/>
                <c:pt idx="0">
                  <c:v>6.11</c:v>
                </c:pt>
                <c:pt idx="1">
                  <c:v>6.28</c:v>
                </c:pt>
                <c:pt idx="2">
                  <c:v>6.39</c:v>
                </c:pt>
                <c:pt idx="3">
                  <c:v>6.43</c:v>
                </c:pt>
                <c:pt idx="4">
                  <c:v>6.76</c:v>
                </c:pt>
                <c:pt idx="5">
                  <c:v>6.86</c:v>
                </c:pt>
                <c:pt idx="6">
                  <c:v>6.88</c:v>
                </c:pt>
                <c:pt idx="7">
                  <c:v>7</c:v>
                </c:pt>
                <c:pt idx="8">
                  <c:v>7</c:v>
                </c:pt>
                <c:pt idx="9">
                  <c:v>7.5</c:v>
                </c:pt>
                <c:pt idx="10">
                  <c:v>7.61</c:v>
                </c:pt>
                <c:pt idx="11">
                  <c:v>8.01</c:v>
                </c:pt>
                <c:pt idx="12">
                  <c:v>8.09</c:v>
                </c:pt>
              </c:numCache>
            </c:numRef>
          </c:val>
        </c:ser>
        <c:dLbls>
          <c:showLegendKey val="0"/>
          <c:showVal val="1"/>
          <c:showCatName val="0"/>
          <c:showSerName val="0"/>
          <c:showPercent val="0"/>
          <c:showBubbleSize val="0"/>
        </c:dLbls>
        <c:gapWidth val="182"/>
        <c:axId val="350904320"/>
        <c:axId val="350907008"/>
      </c:barChart>
      <c:catAx>
        <c:axId val="3509043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0907008"/>
        <c:crosses val="autoZero"/>
        <c:auto val="1"/>
        <c:lblAlgn val="ctr"/>
        <c:lblOffset val="100"/>
        <c:noMultiLvlLbl val="0"/>
      </c:catAx>
      <c:valAx>
        <c:axId val="350907008"/>
        <c:scaling>
          <c:orientation val="minMax"/>
        </c:scaling>
        <c:delete val="1"/>
        <c:axPos val="b"/>
        <c:numFmt formatCode="General" sourceLinked="1"/>
        <c:majorTickMark val="none"/>
        <c:minorTickMark val="none"/>
        <c:tickLblPos val="nextTo"/>
        <c:crossAx val="35090432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Sheet1!$A$37:$A$42</c:f>
              <c:strCache>
                <c:ptCount val="6"/>
                <c:pt idx="0">
                  <c:v>12个月以上</c:v>
                </c:pt>
                <c:pt idx="1">
                  <c:v>9至12个月</c:v>
                </c:pt>
                <c:pt idx="2">
                  <c:v>6至9个月</c:v>
                </c:pt>
                <c:pt idx="3">
                  <c:v>3至6个月</c:v>
                </c:pt>
                <c:pt idx="4">
                  <c:v>2至3个月</c:v>
                </c:pt>
                <c:pt idx="5">
                  <c:v>1个月</c:v>
                </c:pt>
              </c:strCache>
            </c:strRef>
          </c:cat>
          <c:val>
            <c:numRef>
              <c:f>Sheet1!$B$37:$B$42</c:f>
              <c:numCache>
                <c:formatCode>0.0%</c:formatCode>
                <c:ptCount val="6"/>
                <c:pt idx="0">
                  <c:v>8.7837837837837801E-2</c:v>
                </c:pt>
                <c:pt idx="1">
                  <c:v>2.0270270270270299E-2</c:v>
                </c:pt>
                <c:pt idx="2">
                  <c:v>0.101351351351351</c:v>
                </c:pt>
                <c:pt idx="3">
                  <c:v>0.25</c:v>
                </c:pt>
                <c:pt idx="4">
                  <c:v>0.40540540540540498</c:v>
                </c:pt>
                <c:pt idx="5">
                  <c:v>0.135135135135135</c:v>
                </c:pt>
              </c:numCache>
            </c:numRef>
          </c:val>
        </c:ser>
        <c:dLbls>
          <c:showLegendKey val="0"/>
          <c:showVal val="1"/>
          <c:showCatName val="0"/>
          <c:showSerName val="0"/>
          <c:showPercent val="0"/>
          <c:showBubbleSize val="0"/>
        </c:dLbls>
        <c:gapWidth val="182"/>
        <c:axId val="350934144"/>
        <c:axId val="350941184"/>
      </c:barChart>
      <c:catAx>
        <c:axId val="350934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0941184"/>
        <c:crosses val="autoZero"/>
        <c:auto val="1"/>
        <c:lblAlgn val="ctr"/>
        <c:lblOffset val="100"/>
        <c:noMultiLvlLbl val="0"/>
      </c:catAx>
      <c:valAx>
        <c:axId val="350941184"/>
        <c:scaling>
          <c:orientation val="minMax"/>
        </c:scaling>
        <c:delete val="1"/>
        <c:axPos val="b"/>
        <c:numFmt formatCode="0.0%" sourceLinked="1"/>
        <c:majorTickMark val="none"/>
        <c:minorTickMark val="none"/>
        <c:tickLblPos val="nextTo"/>
        <c:crossAx val="35093414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Sheet1!$N$37</c:f>
              <c:strCache>
                <c:ptCount val="1"/>
                <c:pt idx="0">
                  <c:v>1个月</c:v>
                </c:pt>
              </c:strCache>
            </c:strRef>
          </c:tx>
          <c:spPr>
            <a:solidFill>
              <a:schemeClr val="accent1"/>
            </a:solidFill>
            <a:ln>
              <a:noFill/>
            </a:ln>
            <a:effectLst/>
          </c:spPr>
          <c:invertIfNegative val="0"/>
          <c:cat>
            <c:strRef>
              <c:f>Sheet1!$M$38:$M$44</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Sheet1!$N$38:$N$44</c:f>
              <c:numCache>
                <c:formatCode>0.0%</c:formatCode>
                <c:ptCount val="7"/>
                <c:pt idx="0">
                  <c:v>0.116666666666667</c:v>
                </c:pt>
                <c:pt idx="1">
                  <c:v>0</c:v>
                </c:pt>
                <c:pt idx="2">
                  <c:v>0</c:v>
                </c:pt>
                <c:pt idx="3">
                  <c:v>0.14285714285714299</c:v>
                </c:pt>
                <c:pt idx="4">
                  <c:v>0.17647058823529399</c:v>
                </c:pt>
                <c:pt idx="5">
                  <c:v>0.25</c:v>
                </c:pt>
                <c:pt idx="6">
                  <c:v>5.2631578947368397E-2</c:v>
                </c:pt>
              </c:numCache>
            </c:numRef>
          </c:val>
        </c:ser>
        <c:ser>
          <c:idx val="1"/>
          <c:order val="1"/>
          <c:tx>
            <c:strRef>
              <c:f>Sheet1!$O$37</c:f>
              <c:strCache>
                <c:ptCount val="1"/>
                <c:pt idx="0">
                  <c:v>2至3个月</c:v>
                </c:pt>
              </c:strCache>
            </c:strRef>
          </c:tx>
          <c:spPr>
            <a:solidFill>
              <a:schemeClr val="accent2"/>
            </a:solidFill>
            <a:ln>
              <a:noFill/>
            </a:ln>
            <a:effectLst/>
          </c:spPr>
          <c:invertIfNegative val="0"/>
          <c:cat>
            <c:strRef>
              <c:f>Sheet1!$M$38:$M$44</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Sheet1!$O$38:$O$44</c:f>
              <c:numCache>
                <c:formatCode>0.0%</c:formatCode>
                <c:ptCount val="7"/>
                <c:pt idx="0">
                  <c:v>0.38333333333333303</c:v>
                </c:pt>
                <c:pt idx="1">
                  <c:v>0.25</c:v>
                </c:pt>
                <c:pt idx="2">
                  <c:v>0.25</c:v>
                </c:pt>
                <c:pt idx="3">
                  <c:v>0.28571428571428598</c:v>
                </c:pt>
                <c:pt idx="4">
                  <c:v>0.5</c:v>
                </c:pt>
                <c:pt idx="5">
                  <c:v>0.45</c:v>
                </c:pt>
                <c:pt idx="6">
                  <c:v>0.36842105263157898</c:v>
                </c:pt>
              </c:numCache>
            </c:numRef>
          </c:val>
        </c:ser>
        <c:ser>
          <c:idx val="2"/>
          <c:order val="2"/>
          <c:tx>
            <c:strRef>
              <c:f>Sheet1!$P$37</c:f>
              <c:strCache>
                <c:ptCount val="1"/>
                <c:pt idx="0">
                  <c:v>3至6个月</c:v>
                </c:pt>
              </c:strCache>
            </c:strRef>
          </c:tx>
          <c:spPr>
            <a:solidFill>
              <a:schemeClr val="accent3"/>
            </a:solidFill>
            <a:ln>
              <a:noFill/>
            </a:ln>
            <a:effectLst/>
          </c:spPr>
          <c:invertIfNegative val="0"/>
          <c:cat>
            <c:strRef>
              <c:f>Sheet1!$M$38:$M$44</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Sheet1!$P$38:$P$44</c:f>
              <c:numCache>
                <c:formatCode>0.0%</c:formatCode>
                <c:ptCount val="7"/>
                <c:pt idx="0">
                  <c:v>0.3</c:v>
                </c:pt>
                <c:pt idx="1">
                  <c:v>0.25</c:v>
                </c:pt>
                <c:pt idx="2">
                  <c:v>0.25</c:v>
                </c:pt>
                <c:pt idx="3">
                  <c:v>0.14285714285714299</c:v>
                </c:pt>
                <c:pt idx="4">
                  <c:v>0.20588235294117599</c:v>
                </c:pt>
                <c:pt idx="5">
                  <c:v>0.25</c:v>
                </c:pt>
                <c:pt idx="6">
                  <c:v>0.21052631578947401</c:v>
                </c:pt>
              </c:numCache>
            </c:numRef>
          </c:val>
        </c:ser>
        <c:ser>
          <c:idx val="3"/>
          <c:order val="3"/>
          <c:tx>
            <c:strRef>
              <c:f>Sheet1!$Q$37</c:f>
              <c:strCache>
                <c:ptCount val="1"/>
                <c:pt idx="0">
                  <c:v>6至9个月</c:v>
                </c:pt>
              </c:strCache>
            </c:strRef>
          </c:tx>
          <c:spPr>
            <a:solidFill>
              <a:schemeClr val="accent4"/>
            </a:solidFill>
            <a:ln>
              <a:noFill/>
            </a:ln>
            <a:effectLst/>
          </c:spPr>
          <c:invertIfNegative val="0"/>
          <c:cat>
            <c:strRef>
              <c:f>Sheet1!$M$38:$M$44</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Sheet1!$Q$38:$Q$44</c:f>
              <c:numCache>
                <c:formatCode>0.0%</c:formatCode>
                <c:ptCount val="7"/>
                <c:pt idx="0">
                  <c:v>0.15</c:v>
                </c:pt>
                <c:pt idx="1">
                  <c:v>0.25</c:v>
                </c:pt>
                <c:pt idx="2">
                  <c:v>0</c:v>
                </c:pt>
                <c:pt idx="3">
                  <c:v>0.14285714285714299</c:v>
                </c:pt>
                <c:pt idx="4">
                  <c:v>2.9411764705882401E-2</c:v>
                </c:pt>
                <c:pt idx="5">
                  <c:v>0</c:v>
                </c:pt>
                <c:pt idx="6">
                  <c:v>0.157894736842105</c:v>
                </c:pt>
              </c:numCache>
            </c:numRef>
          </c:val>
        </c:ser>
        <c:ser>
          <c:idx val="4"/>
          <c:order val="4"/>
          <c:tx>
            <c:strRef>
              <c:f>Sheet1!$R$37</c:f>
              <c:strCache>
                <c:ptCount val="1"/>
                <c:pt idx="0">
                  <c:v>9至12个月</c:v>
                </c:pt>
              </c:strCache>
            </c:strRef>
          </c:tx>
          <c:spPr>
            <a:solidFill>
              <a:schemeClr val="accent5"/>
            </a:solidFill>
            <a:ln>
              <a:noFill/>
            </a:ln>
            <a:effectLst/>
          </c:spPr>
          <c:invertIfNegative val="0"/>
          <c:cat>
            <c:strRef>
              <c:f>Sheet1!$M$38:$M$44</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Sheet1!$R$38:$R$44</c:f>
              <c:numCache>
                <c:formatCode>0.0%</c:formatCode>
                <c:ptCount val="7"/>
                <c:pt idx="0">
                  <c:v>3.3333333333333298E-2</c:v>
                </c:pt>
                <c:pt idx="1">
                  <c:v>0.25</c:v>
                </c:pt>
                <c:pt idx="2">
                  <c:v>0</c:v>
                </c:pt>
                <c:pt idx="3">
                  <c:v>0</c:v>
                </c:pt>
                <c:pt idx="4">
                  <c:v>0</c:v>
                </c:pt>
                <c:pt idx="5">
                  <c:v>0</c:v>
                </c:pt>
                <c:pt idx="6">
                  <c:v>0</c:v>
                </c:pt>
              </c:numCache>
            </c:numRef>
          </c:val>
        </c:ser>
        <c:ser>
          <c:idx val="5"/>
          <c:order val="5"/>
          <c:tx>
            <c:strRef>
              <c:f>Sheet1!$S$37</c:f>
              <c:strCache>
                <c:ptCount val="1"/>
                <c:pt idx="0">
                  <c:v>12个月以上</c:v>
                </c:pt>
              </c:strCache>
            </c:strRef>
          </c:tx>
          <c:spPr>
            <a:solidFill>
              <a:schemeClr val="accent6"/>
            </a:solidFill>
            <a:ln>
              <a:noFill/>
            </a:ln>
            <a:effectLst/>
          </c:spPr>
          <c:invertIfNegative val="0"/>
          <c:cat>
            <c:strRef>
              <c:f>Sheet1!$M$38:$M$44</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Sheet1!$S$38:$S$44</c:f>
              <c:numCache>
                <c:formatCode>0.0%</c:formatCode>
                <c:ptCount val="7"/>
                <c:pt idx="0">
                  <c:v>1.6666666666666701E-2</c:v>
                </c:pt>
                <c:pt idx="1">
                  <c:v>0</c:v>
                </c:pt>
                <c:pt idx="2">
                  <c:v>0.5</c:v>
                </c:pt>
                <c:pt idx="3">
                  <c:v>0.28571428571428598</c:v>
                </c:pt>
                <c:pt idx="4">
                  <c:v>8.8235294117647106E-2</c:v>
                </c:pt>
                <c:pt idx="5">
                  <c:v>0.05</c:v>
                </c:pt>
                <c:pt idx="6">
                  <c:v>0.21052631578947401</c:v>
                </c:pt>
              </c:numCache>
            </c:numRef>
          </c:val>
        </c:ser>
        <c:dLbls>
          <c:showLegendKey val="0"/>
          <c:showVal val="0"/>
          <c:showCatName val="0"/>
          <c:showSerName val="0"/>
          <c:showPercent val="0"/>
          <c:showBubbleSize val="0"/>
        </c:dLbls>
        <c:gapWidth val="219"/>
        <c:overlap val="-27"/>
        <c:axId val="351112192"/>
        <c:axId val="351126272"/>
      </c:barChart>
      <c:catAx>
        <c:axId val="351112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1126272"/>
        <c:crosses val="autoZero"/>
        <c:auto val="1"/>
        <c:lblAlgn val="ctr"/>
        <c:lblOffset val="100"/>
        <c:noMultiLvlLbl val="0"/>
      </c:catAx>
      <c:valAx>
        <c:axId val="351126272"/>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1112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lang="zh-CN" sz="900">
          <a:solidFill>
            <a:schemeClr val="tx1">
              <a:lumMod val="85000"/>
              <a:lumOff val="15000"/>
            </a:schemeClr>
          </a:solidFill>
          <a:latin typeface="华文楷体" panose="02010600040101010101" charset="-122"/>
          <a:ea typeface="华文楷体" panose="02010600040101010101" charset="-122"/>
        </a:defRPr>
      </a:pPr>
      <a:endParaRPr lang="zh-CN"/>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Sheet1!$C$74:$C$80</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Sheet1!$D$74:$D$80</c:f>
              <c:numCache>
                <c:formatCode>0.0%</c:formatCode>
                <c:ptCount val="7"/>
                <c:pt idx="0">
                  <c:v>0.57432432432432401</c:v>
                </c:pt>
                <c:pt idx="1">
                  <c:v>0.22972972972972999</c:v>
                </c:pt>
                <c:pt idx="2">
                  <c:v>9.45945945945946E-2</c:v>
                </c:pt>
                <c:pt idx="3">
                  <c:v>8.1081081081081099E-2</c:v>
                </c:pt>
                <c:pt idx="4">
                  <c:v>6.7567567567567597E-3</c:v>
                </c:pt>
                <c:pt idx="5">
                  <c:v>6.7567567567567597E-3</c:v>
                </c:pt>
                <c:pt idx="6">
                  <c:v>6.7567567567567597E-3</c:v>
                </c:pt>
              </c:numCache>
            </c:numRef>
          </c:val>
        </c:ser>
        <c:dLbls>
          <c:showLegendKey val="0"/>
          <c:showVal val="1"/>
          <c:showCatName val="0"/>
          <c:showSerName val="0"/>
          <c:showPercent val="0"/>
          <c:showBubbleSize val="0"/>
        </c:dLbls>
        <c:gapWidth val="182"/>
        <c:axId val="351137152"/>
        <c:axId val="353507584"/>
      </c:barChart>
      <c:catAx>
        <c:axId val="3511371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3507584"/>
        <c:crosses val="autoZero"/>
        <c:auto val="1"/>
        <c:lblAlgn val="ctr"/>
        <c:lblOffset val="100"/>
        <c:noMultiLvlLbl val="0"/>
      </c:catAx>
      <c:valAx>
        <c:axId val="353507584"/>
        <c:scaling>
          <c:orientation val="minMax"/>
        </c:scaling>
        <c:delete val="1"/>
        <c:axPos val="b"/>
        <c:numFmt formatCode="0.0%" sourceLinked="1"/>
        <c:majorTickMark val="none"/>
        <c:minorTickMark val="none"/>
        <c:tickLblPos val="nextTo"/>
        <c:crossAx val="35113715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Sheet1!$N$76</c:f>
              <c:strCache>
                <c:ptCount val="1"/>
                <c:pt idx="0">
                  <c:v>建筑设计类</c:v>
                </c:pt>
              </c:strCache>
            </c:strRef>
          </c:tx>
          <c:spPr>
            <a:solidFill>
              <a:schemeClr val="accent1"/>
            </a:solidFill>
            <a:ln>
              <a:noFill/>
            </a:ln>
            <a:effectLst/>
          </c:spPr>
          <c:invertIfNegative val="0"/>
          <c:cat>
            <c:strRef>
              <c:f>Sheet1!$O$75:$U$75</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Sheet1!$O$76:$U$76</c:f>
              <c:numCache>
                <c:formatCode>0.0%</c:formatCode>
                <c:ptCount val="7"/>
                <c:pt idx="0">
                  <c:v>0.56666666666666698</c:v>
                </c:pt>
                <c:pt idx="1">
                  <c:v>0.21666666666666701</c:v>
                </c:pt>
                <c:pt idx="2">
                  <c:v>0.133333333333333</c:v>
                </c:pt>
                <c:pt idx="3">
                  <c:v>6.6666666666666693E-2</c:v>
                </c:pt>
                <c:pt idx="4">
                  <c:v>0</c:v>
                </c:pt>
                <c:pt idx="5">
                  <c:v>0</c:v>
                </c:pt>
                <c:pt idx="6">
                  <c:v>1.6666666666666701E-2</c:v>
                </c:pt>
              </c:numCache>
            </c:numRef>
          </c:val>
        </c:ser>
        <c:ser>
          <c:idx val="1"/>
          <c:order val="1"/>
          <c:tx>
            <c:strRef>
              <c:f>Sheet1!$N$77</c:f>
              <c:strCache>
                <c:ptCount val="1"/>
                <c:pt idx="0">
                  <c:v>市政设计类</c:v>
                </c:pt>
              </c:strCache>
            </c:strRef>
          </c:tx>
          <c:spPr>
            <a:solidFill>
              <a:schemeClr val="accent2"/>
            </a:solidFill>
            <a:ln>
              <a:noFill/>
            </a:ln>
            <a:effectLst/>
          </c:spPr>
          <c:invertIfNegative val="0"/>
          <c:cat>
            <c:strRef>
              <c:f>Sheet1!$O$75:$U$75</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Sheet1!$O$77:$U$77</c:f>
              <c:numCache>
                <c:formatCode>0.0%</c:formatCode>
                <c:ptCount val="7"/>
                <c:pt idx="0">
                  <c:v>0.75</c:v>
                </c:pt>
                <c:pt idx="1">
                  <c:v>0.25</c:v>
                </c:pt>
                <c:pt idx="2">
                  <c:v>0</c:v>
                </c:pt>
                <c:pt idx="3">
                  <c:v>0</c:v>
                </c:pt>
                <c:pt idx="4">
                  <c:v>0</c:v>
                </c:pt>
                <c:pt idx="5">
                  <c:v>0</c:v>
                </c:pt>
                <c:pt idx="6">
                  <c:v>0</c:v>
                </c:pt>
              </c:numCache>
            </c:numRef>
          </c:val>
        </c:ser>
        <c:ser>
          <c:idx val="2"/>
          <c:order val="2"/>
          <c:tx>
            <c:strRef>
              <c:f>Sheet1!$N$78</c:f>
              <c:strCache>
                <c:ptCount val="1"/>
                <c:pt idx="0">
                  <c:v>交通设计类</c:v>
                </c:pt>
              </c:strCache>
            </c:strRef>
          </c:tx>
          <c:spPr>
            <a:solidFill>
              <a:schemeClr val="accent3"/>
            </a:solidFill>
            <a:ln>
              <a:noFill/>
            </a:ln>
            <a:effectLst/>
          </c:spPr>
          <c:invertIfNegative val="0"/>
          <c:cat>
            <c:strRef>
              <c:f>Sheet1!$O$75:$U$75</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Sheet1!$O$78:$U$78</c:f>
              <c:numCache>
                <c:formatCode>0.0%</c:formatCode>
                <c:ptCount val="7"/>
                <c:pt idx="0">
                  <c:v>0.5</c:v>
                </c:pt>
                <c:pt idx="1">
                  <c:v>0</c:v>
                </c:pt>
                <c:pt idx="2">
                  <c:v>0.25</c:v>
                </c:pt>
                <c:pt idx="3">
                  <c:v>0.25</c:v>
                </c:pt>
                <c:pt idx="4">
                  <c:v>0</c:v>
                </c:pt>
                <c:pt idx="5">
                  <c:v>0</c:v>
                </c:pt>
                <c:pt idx="6">
                  <c:v>0</c:v>
                </c:pt>
              </c:numCache>
            </c:numRef>
          </c:val>
        </c:ser>
        <c:ser>
          <c:idx val="3"/>
          <c:order val="3"/>
          <c:tx>
            <c:strRef>
              <c:f>Sheet1!$N$79</c:f>
              <c:strCache>
                <c:ptCount val="1"/>
                <c:pt idx="0">
                  <c:v>工业工程设计类</c:v>
                </c:pt>
              </c:strCache>
            </c:strRef>
          </c:tx>
          <c:spPr>
            <a:solidFill>
              <a:schemeClr val="accent4"/>
            </a:solidFill>
            <a:ln>
              <a:noFill/>
            </a:ln>
            <a:effectLst/>
          </c:spPr>
          <c:invertIfNegative val="0"/>
          <c:cat>
            <c:strRef>
              <c:f>Sheet1!$O$75:$U$75</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Sheet1!$O$79:$U$79</c:f>
              <c:numCache>
                <c:formatCode>0.0%</c:formatCode>
                <c:ptCount val="7"/>
                <c:pt idx="0">
                  <c:v>0.57142857142857095</c:v>
                </c:pt>
                <c:pt idx="1">
                  <c:v>0.42857142857142899</c:v>
                </c:pt>
                <c:pt idx="2">
                  <c:v>0</c:v>
                </c:pt>
                <c:pt idx="3">
                  <c:v>0</c:v>
                </c:pt>
                <c:pt idx="4">
                  <c:v>0</c:v>
                </c:pt>
                <c:pt idx="5">
                  <c:v>0</c:v>
                </c:pt>
                <c:pt idx="6">
                  <c:v>0</c:v>
                </c:pt>
              </c:numCache>
            </c:numRef>
          </c:val>
        </c:ser>
        <c:ser>
          <c:idx val="4"/>
          <c:order val="4"/>
          <c:tx>
            <c:strRef>
              <c:f>Sheet1!$N$80</c:f>
              <c:strCache>
                <c:ptCount val="1"/>
                <c:pt idx="0">
                  <c:v>工程勘察类</c:v>
                </c:pt>
              </c:strCache>
            </c:strRef>
          </c:tx>
          <c:spPr>
            <a:solidFill>
              <a:schemeClr val="accent5"/>
            </a:solidFill>
            <a:ln>
              <a:noFill/>
            </a:ln>
            <a:effectLst/>
          </c:spPr>
          <c:invertIfNegative val="0"/>
          <c:cat>
            <c:strRef>
              <c:f>Sheet1!$O$75:$U$75</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Sheet1!$O$80:$U$80</c:f>
              <c:numCache>
                <c:formatCode>0.0%</c:formatCode>
                <c:ptCount val="7"/>
                <c:pt idx="0">
                  <c:v>0.67647058823529405</c:v>
                </c:pt>
                <c:pt idx="1">
                  <c:v>0.20588235294117599</c:v>
                </c:pt>
                <c:pt idx="2">
                  <c:v>5.8823529411764698E-2</c:v>
                </c:pt>
                <c:pt idx="3">
                  <c:v>5.8823529411764698E-2</c:v>
                </c:pt>
                <c:pt idx="4">
                  <c:v>0</c:v>
                </c:pt>
                <c:pt idx="5">
                  <c:v>0</c:v>
                </c:pt>
                <c:pt idx="6">
                  <c:v>0</c:v>
                </c:pt>
              </c:numCache>
            </c:numRef>
          </c:val>
        </c:ser>
        <c:ser>
          <c:idx val="5"/>
          <c:order val="5"/>
          <c:tx>
            <c:strRef>
              <c:f>Sheet1!$N$81</c:f>
              <c:strCache>
                <c:ptCount val="1"/>
                <c:pt idx="0">
                  <c:v>专项设计类</c:v>
                </c:pt>
              </c:strCache>
            </c:strRef>
          </c:tx>
          <c:spPr>
            <a:solidFill>
              <a:schemeClr val="accent6"/>
            </a:solidFill>
            <a:ln>
              <a:noFill/>
            </a:ln>
            <a:effectLst/>
          </c:spPr>
          <c:invertIfNegative val="0"/>
          <c:cat>
            <c:strRef>
              <c:f>Sheet1!$O$75:$U$75</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Sheet1!$O$81:$U$81</c:f>
              <c:numCache>
                <c:formatCode>0.0%</c:formatCode>
                <c:ptCount val="7"/>
                <c:pt idx="0">
                  <c:v>0.6</c:v>
                </c:pt>
                <c:pt idx="1">
                  <c:v>0.3</c:v>
                </c:pt>
                <c:pt idx="2">
                  <c:v>0</c:v>
                </c:pt>
                <c:pt idx="3">
                  <c:v>0.1</c:v>
                </c:pt>
                <c:pt idx="4">
                  <c:v>0</c:v>
                </c:pt>
                <c:pt idx="5">
                  <c:v>0</c:v>
                </c:pt>
                <c:pt idx="6">
                  <c:v>0</c:v>
                </c:pt>
              </c:numCache>
            </c:numRef>
          </c:val>
        </c:ser>
        <c:ser>
          <c:idx val="6"/>
          <c:order val="6"/>
          <c:tx>
            <c:strRef>
              <c:f>Sheet1!$N$82</c:f>
              <c:strCache>
                <c:ptCount val="1"/>
                <c:pt idx="0">
                  <c:v>其他</c:v>
                </c:pt>
              </c:strCache>
            </c:strRef>
          </c:tx>
          <c:spPr>
            <a:solidFill>
              <a:schemeClr val="accent1">
                <a:lumMod val="60000"/>
              </a:schemeClr>
            </a:solidFill>
            <a:ln>
              <a:noFill/>
            </a:ln>
            <a:effectLst/>
          </c:spPr>
          <c:invertIfNegative val="0"/>
          <c:cat>
            <c:strRef>
              <c:f>Sheet1!$O$75:$U$75</c:f>
              <c:strCache>
                <c:ptCount val="7"/>
                <c:pt idx="0">
                  <c:v>下降20%以上</c:v>
                </c:pt>
                <c:pt idx="1">
                  <c:v>下降10%至20%</c:v>
                </c:pt>
                <c:pt idx="2">
                  <c:v>下降10%以内</c:v>
                </c:pt>
                <c:pt idx="3">
                  <c:v>持平</c:v>
                </c:pt>
                <c:pt idx="4">
                  <c:v>增长10%以内</c:v>
                </c:pt>
                <c:pt idx="5">
                  <c:v>增长10%至20%</c:v>
                </c:pt>
                <c:pt idx="6">
                  <c:v>增长20%以上</c:v>
                </c:pt>
              </c:strCache>
            </c:strRef>
          </c:cat>
          <c:val>
            <c:numRef>
              <c:f>Sheet1!$O$82:$U$82</c:f>
              <c:numCache>
                <c:formatCode>0.0%</c:formatCode>
                <c:ptCount val="7"/>
                <c:pt idx="0">
                  <c:v>0.36842105263157898</c:v>
                </c:pt>
                <c:pt idx="1">
                  <c:v>0.21052631578947401</c:v>
                </c:pt>
                <c:pt idx="2">
                  <c:v>0.157894736842105</c:v>
                </c:pt>
                <c:pt idx="3">
                  <c:v>0.157894736842105</c:v>
                </c:pt>
                <c:pt idx="4">
                  <c:v>5.2631578947368397E-2</c:v>
                </c:pt>
                <c:pt idx="5">
                  <c:v>5.2631578947368397E-2</c:v>
                </c:pt>
                <c:pt idx="6">
                  <c:v>0</c:v>
                </c:pt>
              </c:numCache>
            </c:numRef>
          </c:val>
        </c:ser>
        <c:dLbls>
          <c:showLegendKey val="0"/>
          <c:showVal val="0"/>
          <c:showCatName val="0"/>
          <c:showSerName val="0"/>
          <c:showPercent val="0"/>
          <c:showBubbleSize val="0"/>
        </c:dLbls>
        <c:gapWidth val="219"/>
        <c:overlap val="-27"/>
        <c:axId val="353565312"/>
        <c:axId val="352461184"/>
      </c:barChart>
      <c:catAx>
        <c:axId val="35356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2461184"/>
        <c:crosses val="autoZero"/>
        <c:auto val="1"/>
        <c:lblAlgn val="ctr"/>
        <c:lblOffset val="100"/>
        <c:noMultiLvlLbl val="0"/>
      </c:catAx>
      <c:valAx>
        <c:axId val="352461184"/>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3565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lang="zh-CN" sz="900">
          <a:solidFill>
            <a:schemeClr val="tx1">
              <a:lumMod val="85000"/>
              <a:lumOff val="15000"/>
            </a:schemeClr>
          </a:solidFill>
          <a:latin typeface="华文楷体" panose="02010600040101010101" charset="-122"/>
          <a:ea typeface="华文楷体" panose="02010600040101010101" charset="-122"/>
        </a:defRPr>
      </a:pPr>
      <a:endParaRPr lang="zh-CN"/>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Sheet1!$B$52:$B$56</c:f>
              <c:strCache>
                <c:ptCount val="5"/>
                <c:pt idx="0">
                  <c:v>30%以下</c:v>
                </c:pt>
                <c:pt idx="1">
                  <c:v>满足30% - 50%</c:v>
                </c:pt>
                <c:pt idx="2">
                  <c:v>满足50% - 70%</c:v>
                </c:pt>
                <c:pt idx="3">
                  <c:v>满足70% - 90%</c:v>
                </c:pt>
                <c:pt idx="4">
                  <c:v>满足90%以上</c:v>
                </c:pt>
              </c:strCache>
            </c:strRef>
          </c:cat>
          <c:val>
            <c:numRef>
              <c:f>Sheet1!$C$52:$C$56</c:f>
              <c:numCache>
                <c:formatCode>0.0%</c:formatCode>
                <c:ptCount val="5"/>
                <c:pt idx="0">
                  <c:v>0.59459459459459496</c:v>
                </c:pt>
                <c:pt idx="1">
                  <c:v>0.24324324324324301</c:v>
                </c:pt>
                <c:pt idx="2">
                  <c:v>0.108108108108108</c:v>
                </c:pt>
                <c:pt idx="3">
                  <c:v>4.0540540540540501E-2</c:v>
                </c:pt>
                <c:pt idx="4">
                  <c:v>1.35135135135135E-2</c:v>
                </c:pt>
              </c:numCache>
            </c:numRef>
          </c:val>
        </c:ser>
        <c:dLbls>
          <c:showLegendKey val="0"/>
          <c:showVal val="1"/>
          <c:showCatName val="0"/>
          <c:showSerName val="0"/>
          <c:showPercent val="0"/>
          <c:showBubbleSize val="0"/>
        </c:dLbls>
        <c:gapWidth val="182"/>
        <c:axId val="352467968"/>
        <c:axId val="352487296"/>
      </c:barChart>
      <c:catAx>
        <c:axId val="3524679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2487296"/>
        <c:crosses val="autoZero"/>
        <c:auto val="1"/>
        <c:lblAlgn val="ctr"/>
        <c:lblOffset val="100"/>
        <c:noMultiLvlLbl val="0"/>
      </c:catAx>
      <c:valAx>
        <c:axId val="352487296"/>
        <c:scaling>
          <c:orientation val="minMax"/>
        </c:scaling>
        <c:delete val="1"/>
        <c:axPos val="b"/>
        <c:numFmt formatCode="0.0%" sourceLinked="1"/>
        <c:majorTickMark val="none"/>
        <c:minorTickMark val="none"/>
        <c:tickLblPos val="nextTo"/>
        <c:crossAx val="35246796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Sheet1!$O$50</c:f>
              <c:strCache>
                <c:ptCount val="1"/>
                <c:pt idx="0">
                  <c:v>30%以下</c:v>
                </c:pt>
              </c:strCache>
            </c:strRef>
          </c:tx>
          <c:spPr>
            <a:solidFill>
              <a:schemeClr val="accent1"/>
            </a:solidFill>
            <a:ln>
              <a:noFill/>
            </a:ln>
            <a:effectLst/>
          </c:spPr>
          <c:invertIfNegative val="0"/>
          <c:cat>
            <c:strRef>
              <c:f>Sheet1!$N$51:$N$57</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Sheet1!$O$51:$O$57</c:f>
              <c:numCache>
                <c:formatCode>0.0%</c:formatCode>
                <c:ptCount val="7"/>
                <c:pt idx="0">
                  <c:v>0.6</c:v>
                </c:pt>
                <c:pt idx="1">
                  <c:v>0.75</c:v>
                </c:pt>
                <c:pt idx="2">
                  <c:v>0</c:v>
                </c:pt>
                <c:pt idx="3">
                  <c:v>0.71428571428571397</c:v>
                </c:pt>
                <c:pt idx="4">
                  <c:v>0.67647058823529405</c:v>
                </c:pt>
                <c:pt idx="5">
                  <c:v>0.7</c:v>
                </c:pt>
                <c:pt idx="6">
                  <c:v>0.36842105263157898</c:v>
                </c:pt>
              </c:numCache>
            </c:numRef>
          </c:val>
        </c:ser>
        <c:ser>
          <c:idx val="1"/>
          <c:order val="1"/>
          <c:tx>
            <c:strRef>
              <c:f>Sheet1!$P$50</c:f>
              <c:strCache>
                <c:ptCount val="1"/>
                <c:pt idx="0">
                  <c:v>满足30% - 50%</c:v>
                </c:pt>
              </c:strCache>
            </c:strRef>
          </c:tx>
          <c:spPr>
            <a:solidFill>
              <a:schemeClr val="accent2"/>
            </a:solidFill>
            <a:ln>
              <a:noFill/>
            </a:ln>
            <a:effectLst/>
          </c:spPr>
          <c:invertIfNegative val="0"/>
          <c:cat>
            <c:strRef>
              <c:f>Sheet1!$N$51:$N$57</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Sheet1!$P$51:$P$57</c:f>
              <c:numCache>
                <c:formatCode>0.0%</c:formatCode>
                <c:ptCount val="7"/>
                <c:pt idx="0">
                  <c:v>0.233333333333333</c:v>
                </c:pt>
                <c:pt idx="1">
                  <c:v>0.25</c:v>
                </c:pt>
                <c:pt idx="2">
                  <c:v>0.25</c:v>
                </c:pt>
                <c:pt idx="3">
                  <c:v>0</c:v>
                </c:pt>
                <c:pt idx="4">
                  <c:v>0.29411764705882398</c:v>
                </c:pt>
                <c:pt idx="5">
                  <c:v>0.2</c:v>
                </c:pt>
                <c:pt idx="6">
                  <c:v>0.31578947368421101</c:v>
                </c:pt>
              </c:numCache>
            </c:numRef>
          </c:val>
        </c:ser>
        <c:ser>
          <c:idx val="2"/>
          <c:order val="2"/>
          <c:tx>
            <c:strRef>
              <c:f>Sheet1!$Q$50</c:f>
              <c:strCache>
                <c:ptCount val="1"/>
                <c:pt idx="0">
                  <c:v>满足50% - 70%</c:v>
                </c:pt>
              </c:strCache>
            </c:strRef>
          </c:tx>
          <c:spPr>
            <a:solidFill>
              <a:schemeClr val="accent3"/>
            </a:solidFill>
            <a:ln>
              <a:noFill/>
            </a:ln>
            <a:effectLst/>
          </c:spPr>
          <c:invertIfNegative val="0"/>
          <c:cat>
            <c:strRef>
              <c:f>Sheet1!$N$51:$N$57</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Sheet1!$Q$51:$Q$57</c:f>
              <c:numCache>
                <c:formatCode>0.0%</c:formatCode>
                <c:ptCount val="7"/>
                <c:pt idx="0">
                  <c:v>0.15</c:v>
                </c:pt>
                <c:pt idx="1">
                  <c:v>0</c:v>
                </c:pt>
                <c:pt idx="2">
                  <c:v>0.5</c:v>
                </c:pt>
                <c:pt idx="3">
                  <c:v>0.28571428571428598</c:v>
                </c:pt>
                <c:pt idx="4">
                  <c:v>0</c:v>
                </c:pt>
                <c:pt idx="5">
                  <c:v>0.05</c:v>
                </c:pt>
                <c:pt idx="6">
                  <c:v>0.105263157894737</c:v>
                </c:pt>
              </c:numCache>
            </c:numRef>
          </c:val>
        </c:ser>
        <c:ser>
          <c:idx val="3"/>
          <c:order val="3"/>
          <c:tx>
            <c:strRef>
              <c:f>Sheet1!$R$50</c:f>
              <c:strCache>
                <c:ptCount val="1"/>
                <c:pt idx="0">
                  <c:v>满足70% - 90%</c:v>
                </c:pt>
              </c:strCache>
            </c:strRef>
          </c:tx>
          <c:spPr>
            <a:solidFill>
              <a:schemeClr val="accent4"/>
            </a:solidFill>
            <a:ln>
              <a:noFill/>
            </a:ln>
            <a:effectLst/>
          </c:spPr>
          <c:invertIfNegative val="0"/>
          <c:cat>
            <c:strRef>
              <c:f>Sheet1!$N$51:$N$57</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Sheet1!$R$51:$R$57</c:f>
              <c:numCache>
                <c:formatCode>0.0%</c:formatCode>
                <c:ptCount val="7"/>
                <c:pt idx="0">
                  <c:v>1.6666666666666701E-2</c:v>
                </c:pt>
                <c:pt idx="1">
                  <c:v>0</c:v>
                </c:pt>
                <c:pt idx="2">
                  <c:v>0.25</c:v>
                </c:pt>
                <c:pt idx="3">
                  <c:v>0</c:v>
                </c:pt>
                <c:pt idx="4">
                  <c:v>0</c:v>
                </c:pt>
                <c:pt idx="5">
                  <c:v>0.05</c:v>
                </c:pt>
                <c:pt idx="6">
                  <c:v>0.157894736842105</c:v>
                </c:pt>
              </c:numCache>
            </c:numRef>
          </c:val>
        </c:ser>
        <c:ser>
          <c:idx val="4"/>
          <c:order val="4"/>
          <c:tx>
            <c:strRef>
              <c:f>Sheet1!$S$50</c:f>
              <c:strCache>
                <c:ptCount val="1"/>
                <c:pt idx="0">
                  <c:v>满足90%以上</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Sheet1!$N$51:$N$57</c:f>
              <c:strCache>
                <c:ptCount val="7"/>
                <c:pt idx="0">
                  <c:v>建筑设计类</c:v>
                </c:pt>
                <c:pt idx="1">
                  <c:v>市政设计类</c:v>
                </c:pt>
                <c:pt idx="2">
                  <c:v>交通设计类</c:v>
                </c:pt>
                <c:pt idx="3">
                  <c:v>工业工程设计类</c:v>
                </c:pt>
                <c:pt idx="4">
                  <c:v>工程勘察类</c:v>
                </c:pt>
                <c:pt idx="5">
                  <c:v>专项设计类</c:v>
                </c:pt>
                <c:pt idx="6">
                  <c:v>其他</c:v>
                </c:pt>
              </c:strCache>
            </c:strRef>
          </c:cat>
          <c:val>
            <c:numRef>
              <c:f>Sheet1!$S$51:$S$57</c:f>
              <c:numCache>
                <c:formatCode>0.0%</c:formatCode>
                <c:ptCount val="7"/>
                <c:pt idx="0">
                  <c:v>0</c:v>
                </c:pt>
                <c:pt idx="1">
                  <c:v>0</c:v>
                </c:pt>
                <c:pt idx="2">
                  <c:v>0</c:v>
                </c:pt>
                <c:pt idx="3">
                  <c:v>0</c:v>
                </c:pt>
                <c:pt idx="4">
                  <c:v>2.9411764705882401E-2</c:v>
                </c:pt>
                <c:pt idx="5">
                  <c:v>0</c:v>
                </c:pt>
                <c:pt idx="6">
                  <c:v>5.2631578947368397E-2</c:v>
                </c:pt>
              </c:numCache>
            </c:numRef>
          </c:val>
        </c:ser>
        <c:dLbls>
          <c:showLegendKey val="0"/>
          <c:showVal val="0"/>
          <c:showCatName val="0"/>
          <c:showSerName val="0"/>
          <c:showPercent val="0"/>
          <c:showBubbleSize val="0"/>
        </c:dLbls>
        <c:gapWidth val="219"/>
        <c:overlap val="-27"/>
        <c:axId val="353571584"/>
        <c:axId val="353573120"/>
      </c:barChart>
      <c:catAx>
        <c:axId val="353571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3573120"/>
        <c:crosses val="autoZero"/>
        <c:auto val="1"/>
        <c:lblAlgn val="ctr"/>
        <c:lblOffset val="100"/>
        <c:noMultiLvlLbl val="0"/>
      </c:catAx>
      <c:valAx>
        <c:axId val="353573120"/>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3571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legend>
    <c:plotVisOnly val="1"/>
    <c:dispBlanksAs val="gap"/>
    <c:showDLblsOverMax val="0"/>
  </c:chart>
  <c:spPr>
    <a:noFill/>
    <a:ln w="9525" cap="flat" cmpd="sng" algn="ctr">
      <a:noFill/>
      <a:round/>
    </a:ln>
    <a:effectLst/>
  </c:spPr>
  <c:txPr>
    <a:bodyPr/>
    <a:lstStyle/>
    <a:p>
      <a:pPr>
        <a:defRPr lang="zh-CN" sz="900">
          <a:solidFill>
            <a:schemeClr val="tx1">
              <a:lumMod val="85000"/>
              <a:lumOff val="15000"/>
            </a:schemeClr>
          </a:solidFill>
          <a:latin typeface="华文楷体" panose="02010600040101010101" charset="-122"/>
          <a:ea typeface="华文楷体" panose="02010600040101010101" charset="-122"/>
        </a:defRPr>
      </a:pPr>
      <a:endParaRPr lang="zh-CN"/>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Sheet1!$H$91:$H$98</c:f>
              <c:strCache>
                <c:ptCount val="8"/>
                <c:pt idx="0">
                  <c:v>无法判断</c:v>
                </c:pt>
                <c:pt idx="1">
                  <c:v>减少20%以上</c:v>
                </c:pt>
                <c:pt idx="2">
                  <c:v>减少10% - 20%</c:v>
                </c:pt>
                <c:pt idx="3">
                  <c:v>减少0 - 10%</c:v>
                </c:pt>
                <c:pt idx="4">
                  <c:v>没有影响</c:v>
                </c:pt>
                <c:pt idx="5">
                  <c:v>增长0 - 10%</c:v>
                </c:pt>
                <c:pt idx="6">
                  <c:v>增长10% - 20%</c:v>
                </c:pt>
                <c:pt idx="7">
                  <c:v>增长20%以上</c:v>
                </c:pt>
              </c:strCache>
            </c:strRef>
          </c:cat>
          <c:val>
            <c:numRef>
              <c:f>Sheet1!$I$91:$I$98</c:f>
              <c:numCache>
                <c:formatCode>0.0%</c:formatCode>
                <c:ptCount val="8"/>
                <c:pt idx="0">
                  <c:v>0.20270270270270299</c:v>
                </c:pt>
                <c:pt idx="1">
                  <c:v>0.135135135135135</c:v>
                </c:pt>
                <c:pt idx="2">
                  <c:v>0.108108108108108</c:v>
                </c:pt>
                <c:pt idx="3">
                  <c:v>4.72972972972973E-2</c:v>
                </c:pt>
                <c:pt idx="4">
                  <c:v>2.0270270270270299E-2</c:v>
                </c:pt>
                <c:pt idx="5">
                  <c:v>0.101351351351351</c:v>
                </c:pt>
                <c:pt idx="6">
                  <c:v>0.23648648648648599</c:v>
                </c:pt>
                <c:pt idx="7">
                  <c:v>0.14864864864864899</c:v>
                </c:pt>
              </c:numCache>
            </c:numRef>
          </c:val>
        </c:ser>
        <c:dLbls>
          <c:showLegendKey val="0"/>
          <c:showVal val="1"/>
          <c:showCatName val="0"/>
          <c:showSerName val="0"/>
          <c:showPercent val="0"/>
          <c:showBubbleSize val="0"/>
        </c:dLbls>
        <c:gapWidth val="182"/>
        <c:axId val="353592832"/>
        <c:axId val="353607680"/>
      </c:barChart>
      <c:catAx>
        <c:axId val="3535928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3607680"/>
        <c:crosses val="autoZero"/>
        <c:auto val="1"/>
        <c:lblAlgn val="ctr"/>
        <c:lblOffset val="100"/>
        <c:noMultiLvlLbl val="0"/>
      </c:catAx>
      <c:valAx>
        <c:axId val="353607680"/>
        <c:scaling>
          <c:orientation val="minMax"/>
        </c:scaling>
        <c:delete val="1"/>
        <c:axPos val="b"/>
        <c:numFmt formatCode="0.0%" sourceLinked="1"/>
        <c:majorTickMark val="none"/>
        <c:minorTickMark val="none"/>
        <c:tickLblPos val="nextTo"/>
        <c:crossAx val="353592832"/>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Sheet1!$E$100</c:f>
              <c:strCache>
                <c:ptCount val="1"/>
                <c:pt idx="0">
                  <c:v>Q1营收</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Sheet1!$D$101:$D$110</c:f>
              <c:strCache>
                <c:ptCount val="10"/>
                <c:pt idx="0">
                  <c:v>无法判断</c:v>
                </c:pt>
                <c:pt idx="1">
                  <c:v>减少30%以上</c:v>
                </c:pt>
                <c:pt idx="2">
                  <c:v>减少20% - 30%</c:v>
                </c:pt>
                <c:pt idx="3">
                  <c:v>减少10% - 20%</c:v>
                </c:pt>
                <c:pt idx="4">
                  <c:v>减少0 - 10%</c:v>
                </c:pt>
                <c:pt idx="5">
                  <c:v>无影响</c:v>
                </c:pt>
                <c:pt idx="6">
                  <c:v>增长0 - 10%</c:v>
                </c:pt>
                <c:pt idx="7">
                  <c:v>增长10% - 20%</c:v>
                </c:pt>
                <c:pt idx="8">
                  <c:v>增长20% - 30%</c:v>
                </c:pt>
                <c:pt idx="9">
                  <c:v>增长30%以上</c:v>
                </c:pt>
              </c:strCache>
            </c:strRef>
          </c:cat>
          <c:val>
            <c:numRef>
              <c:f>Sheet1!$E$101:$E$110</c:f>
              <c:numCache>
                <c:formatCode>0.0%</c:formatCode>
                <c:ptCount val="10"/>
                <c:pt idx="0">
                  <c:v>0.108108108108108</c:v>
                </c:pt>
                <c:pt idx="1">
                  <c:v>0.41891891891891903</c:v>
                </c:pt>
                <c:pt idx="2">
                  <c:v>0.195945945945946</c:v>
                </c:pt>
                <c:pt idx="3">
                  <c:v>0.22972972972972999</c:v>
                </c:pt>
                <c:pt idx="4">
                  <c:v>4.0540540540540501E-2</c:v>
                </c:pt>
                <c:pt idx="5">
                  <c:v>0</c:v>
                </c:pt>
                <c:pt idx="6">
                  <c:v>0</c:v>
                </c:pt>
                <c:pt idx="7">
                  <c:v>6.7567567567567597E-3</c:v>
                </c:pt>
                <c:pt idx="8">
                  <c:v>0</c:v>
                </c:pt>
                <c:pt idx="9">
                  <c:v>0</c:v>
                </c:pt>
              </c:numCache>
            </c:numRef>
          </c:val>
        </c:ser>
        <c:ser>
          <c:idx val="1"/>
          <c:order val="1"/>
          <c:tx>
            <c:strRef>
              <c:f>Sheet1!$F$100</c:f>
              <c:strCache>
                <c:ptCount val="1"/>
                <c:pt idx="0">
                  <c:v>全年营收</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Sheet1!$D$101:$D$110</c:f>
              <c:strCache>
                <c:ptCount val="10"/>
                <c:pt idx="0">
                  <c:v>无法判断</c:v>
                </c:pt>
                <c:pt idx="1">
                  <c:v>减少30%以上</c:v>
                </c:pt>
                <c:pt idx="2">
                  <c:v>减少20% - 30%</c:v>
                </c:pt>
                <c:pt idx="3">
                  <c:v>减少10% - 20%</c:v>
                </c:pt>
                <c:pt idx="4">
                  <c:v>减少0 - 10%</c:v>
                </c:pt>
                <c:pt idx="5">
                  <c:v>无影响</c:v>
                </c:pt>
                <c:pt idx="6">
                  <c:v>增长0 - 10%</c:v>
                </c:pt>
                <c:pt idx="7">
                  <c:v>增长10% - 20%</c:v>
                </c:pt>
                <c:pt idx="8">
                  <c:v>增长20% - 30%</c:v>
                </c:pt>
                <c:pt idx="9">
                  <c:v>增长30%以上</c:v>
                </c:pt>
              </c:strCache>
            </c:strRef>
          </c:cat>
          <c:val>
            <c:numRef>
              <c:f>Sheet1!$F$101:$F$110</c:f>
              <c:numCache>
                <c:formatCode>0.0%</c:formatCode>
                <c:ptCount val="10"/>
                <c:pt idx="0">
                  <c:v>0.20270270270270299</c:v>
                </c:pt>
                <c:pt idx="1">
                  <c:v>0.27027027027027001</c:v>
                </c:pt>
                <c:pt idx="2">
                  <c:v>0.18243243243243201</c:v>
                </c:pt>
                <c:pt idx="3">
                  <c:v>0.304054054054054</c:v>
                </c:pt>
                <c:pt idx="4">
                  <c:v>3.37837837837838E-2</c:v>
                </c:pt>
                <c:pt idx="5">
                  <c:v>6.7567567567567597E-3</c:v>
                </c:pt>
                <c:pt idx="6">
                  <c:v>0</c:v>
                </c:pt>
                <c:pt idx="7">
                  <c:v>0</c:v>
                </c:pt>
                <c:pt idx="8">
                  <c:v>0</c:v>
                </c:pt>
                <c:pt idx="9">
                  <c:v>0</c:v>
                </c:pt>
              </c:numCache>
            </c:numRef>
          </c:val>
        </c:ser>
        <c:dLbls>
          <c:showLegendKey val="0"/>
          <c:showVal val="1"/>
          <c:showCatName val="0"/>
          <c:showSerName val="0"/>
          <c:showPercent val="0"/>
          <c:showBubbleSize val="0"/>
        </c:dLbls>
        <c:gapWidth val="182"/>
        <c:axId val="353637120"/>
        <c:axId val="353638656"/>
      </c:barChart>
      <c:catAx>
        <c:axId val="3536371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3638656"/>
        <c:crosses val="autoZero"/>
        <c:auto val="1"/>
        <c:lblAlgn val="ctr"/>
        <c:lblOffset val="100"/>
        <c:noMultiLvlLbl val="0"/>
      </c:catAx>
      <c:valAx>
        <c:axId val="353638656"/>
        <c:scaling>
          <c:orientation val="minMax"/>
        </c:scaling>
        <c:delete val="1"/>
        <c:axPos val="b"/>
        <c:numFmt formatCode="0.0%" sourceLinked="1"/>
        <c:majorTickMark val="none"/>
        <c:minorTickMark val="none"/>
        <c:tickLblPos val="nextTo"/>
        <c:crossAx val="353637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legend>
    <c:plotVisOnly val="1"/>
    <c:dispBlanksAs val="gap"/>
    <c:showDLblsOverMax val="0"/>
  </c:chart>
  <c:spPr>
    <a:solidFill>
      <a:schemeClr val="bg1"/>
    </a:solidFill>
    <a:ln w="9525" cap="flat" cmpd="sng" algn="ctr">
      <a:noFill/>
      <a:round/>
    </a:ln>
    <a:effectLst/>
  </c:spPr>
  <c:txPr>
    <a:bodyPr/>
    <a:lstStyle/>
    <a:p>
      <a:pPr>
        <a:defRPr lang="zh-CN" sz="900">
          <a:solidFill>
            <a:schemeClr val="tx1">
              <a:lumMod val="85000"/>
              <a:lumOff val="15000"/>
            </a:schemeClr>
          </a:solidFill>
          <a:latin typeface="华文楷体" panose="02010600040101010101" charset="-122"/>
          <a:ea typeface="华文楷体" panose="02010600040101010101" charset="-122"/>
        </a:defRPr>
      </a:pPr>
      <a:endParaRPr lang="zh-CN"/>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50130105072370801"/>
          <c:y val="6.57698056801196E-2"/>
          <c:w val="0.40749373754990698"/>
          <c:h val="0.86846038863976105"/>
        </c:manualLayout>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Sheet1!$D$117:$D$123</c:f>
              <c:strCache>
                <c:ptCount val="7"/>
                <c:pt idx="0">
                  <c:v>焦虑、恐慌等负面情绪蔓延，员工队伍不稳定</c:v>
                </c:pt>
                <c:pt idx="1">
                  <c:v>现有人才水平不足以应对外部压力和适应变革升级需要</c:v>
                </c:pt>
                <c:pt idx="2">
                  <c:v>困境中企业无力承担原有的工资成本</c:v>
                </c:pt>
                <c:pt idx="3">
                  <c:v>业务开展受阻导致工作不饱和，呈现出人才冗余</c:v>
                </c:pt>
                <c:pt idx="4">
                  <c:v>远程办公管理比较困难，或者效果不佳</c:v>
                </c:pt>
                <c:pt idx="5">
                  <c:v>线下的招聘工作难以开展</c:v>
                </c:pt>
                <c:pt idx="6">
                  <c:v>集中性的培训工作不便组织</c:v>
                </c:pt>
              </c:strCache>
            </c:strRef>
          </c:cat>
          <c:val>
            <c:numRef>
              <c:f>Sheet1!$E$117:$E$123</c:f>
              <c:numCache>
                <c:formatCode>General</c:formatCode>
                <c:ptCount val="7"/>
                <c:pt idx="0">
                  <c:v>6.43</c:v>
                </c:pt>
                <c:pt idx="1">
                  <c:v>6.49</c:v>
                </c:pt>
                <c:pt idx="2">
                  <c:v>6.66</c:v>
                </c:pt>
                <c:pt idx="3">
                  <c:v>6.72</c:v>
                </c:pt>
                <c:pt idx="4">
                  <c:v>7.02</c:v>
                </c:pt>
                <c:pt idx="5">
                  <c:v>7.05</c:v>
                </c:pt>
                <c:pt idx="6">
                  <c:v>8.0299999999999994</c:v>
                </c:pt>
              </c:numCache>
            </c:numRef>
          </c:val>
        </c:ser>
        <c:dLbls>
          <c:showLegendKey val="0"/>
          <c:showVal val="1"/>
          <c:showCatName val="0"/>
          <c:showSerName val="0"/>
          <c:showPercent val="0"/>
          <c:showBubbleSize val="0"/>
        </c:dLbls>
        <c:gapWidth val="182"/>
        <c:axId val="353653888"/>
        <c:axId val="353669120"/>
      </c:barChart>
      <c:catAx>
        <c:axId val="3536538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3669120"/>
        <c:crosses val="autoZero"/>
        <c:auto val="1"/>
        <c:lblAlgn val="ctr"/>
        <c:lblOffset val="100"/>
        <c:noMultiLvlLbl val="0"/>
      </c:catAx>
      <c:valAx>
        <c:axId val="353669120"/>
        <c:scaling>
          <c:orientation val="minMax"/>
        </c:scaling>
        <c:delete val="1"/>
        <c:axPos val="b"/>
        <c:numFmt formatCode="General" sourceLinked="1"/>
        <c:majorTickMark val="none"/>
        <c:minorTickMark val="none"/>
        <c:tickLblPos val="nextTo"/>
        <c:crossAx val="35365388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sz="900">
          <a:solidFill>
            <a:schemeClr val="tx1">
              <a:lumMod val="85000"/>
              <a:lumOff val="15000"/>
            </a:schemeClr>
          </a:solidFill>
          <a:latin typeface="华文楷体" panose="02010600040101010101" charset="-122"/>
          <a:ea typeface="华文楷体" panose="02010600040101010101" charset="-122"/>
        </a:defRPr>
      </a:pPr>
      <a:endParaRPr lang="zh-CN"/>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Sheet1!$I$126:$I$132</c:f>
              <c:strCache>
                <c:ptCount val="7"/>
                <c:pt idx="0">
                  <c:v>交通设计类</c:v>
                </c:pt>
                <c:pt idx="1">
                  <c:v>工业工程设计类</c:v>
                </c:pt>
                <c:pt idx="2">
                  <c:v>其他</c:v>
                </c:pt>
                <c:pt idx="3">
                  <c:v>专项设计类</c:v>
                </c:pt>
                <c:pt idx="4">
                  <c:v>工程勘察类</c:v>
                </c:pt>
                <c:pt idx="5">
                  <c:v>市政设计类</c:v>
                </c:pt>
                <c:pt idx="6">
                  <c:v>建筑设计类</c:v>
                </c:pt>
              </c:strCache>
            </c:strRef>
          </c:cat>
          <c:val>
            <c:numRef>
              <c:f>Sheet1!$J$126:$J$132</c:f>
              <c:numCache>
                <c:formatCode>0.00</c:formatCode>
                <c:ptCount val="7"/>
                <c:pt idx="0">
                  <c:v>5.75</c:v>
                </c:pt>
                <c:pt idx="1">
                  <c:v>6.4285714285714297</c:v>
                </c:pt>
                <c:pt idx="2">
                  <c:v>7.3157894736842097</c:v>
                </c:pt>
                <c:pt idx="3">
                  <c:v>7.55</c:v>
                </c:pt>
                <c:pt idx="4">
                  <c:v>7.6176470588235299</c:v>
                </c:pt>
                <c:pt idx="5">
                  <c:v>7.75</c:v>
                </c:pt>
                <c:pt idx="6">
                  <c:v>7.9833333333333298</c:v>
                </c:pt>
              </c:numCache>
            </c:numRef>
          </c:val>
        </c:ser>
        <c:dLbls>
          <c:showLegendKey val="0"/>
          <c:showVal val="1"/>
          <c:showCatName val="0"/>
          <c:showSerName val="0"/>
          <c:showPercent val="0"/>
          <c:showBubbleSize val="0"/>
        </c:dLbls>
        <c:gapWidth val="182"/>
        <c:axId val="353671808"/>
        <c:axId val="353694848"/>
      </c:barChart>
      <c:catAx>
        <c:axId val="3536718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85000"/>
                    <a:lumOff val="15000"/>
                  </a:schemeClr>
                </a:solidFill>
                <a:latin typeface="华文楷体" panose="02010600040101010101" charset="-122"/>
                <a:ea typeface="华文楷体" panose="02010600040101010101" charset="-122"/>
                <a:cs typeface="+mn-cs"/>
              </a:defRPr>
            </a:pPr>
            <a:endParaRPr lang="zh-CN"/>
          </a:p>
        </c:txPr>
        <c:crossAx val="353694848"/>
        <c:crosses val="autoZero"/>
        <c:auto val="1"/>
        <c:lblAlgn val="ctr"/>
        <c:lblOffset val="100"/>
        <c:noMultiLvlLbl val="0"/>
      </c:catAx>
      <c:valAx>
        <c:axId val="353694848"/>
        <c:scaling>
          <c:orientation val="minMax"/>
        </c:scaling>
        <c:delete val="1"/>
        <c:axPos val="b"/>
        <c:numFmt formatCode="0.00" sourceLinked="1"/>
        <c:majorTickMark val="none"/>
        <c:minorTickMark val="none"/>
        <c:tickLblPos val="nextTo"/>
        <c:crossAx val="35367180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sz="900">
          <a:solidFill>
            <a:schemeClr val="tx1">
              <a:lumMod val="85000"/>
              <a:lumOff val="15000"/>
            </a:schemeClr>
          </a:solidFill>
          <a:latin typeface="华文楷体" panose="02010600040101010101" charset="-122"/>
          <a:ea typeface="华文楷体" panose="02010600040101010101" charset="-122"/>
        </a:defRPr>
      </a:pPr>
      <a:endParaRPr lang="zh-CN"/>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Sheet1!$D$134:$D$141</c:f>
              <c:strCache>
                <c:ptCount val="8"/>
                <c:pt idx="0">
                  <c:v>有助于提升行业影响力</c:v>
                </c:pt>
                <c:pt idx="1">
                  <c:v>海外拓展受阻</c:v>
                </c:pt>
                <c:pt idx="2">
                  <c:v>推进行业市场监管优化</c:v>
                </c:pt>
                <c:pt idx="3">
                  <c:v>加速行业重组整合</c:v>
                </c:pt>
                <c:pt idx="4">
                  <c:v>体制改革放缓</c:v>
                </c:pt>
                <c:pt idx="5">
                  <c:v>加速行业服务升级</c:v>
                </c:pt>
                <c:pt idx="6">
                  <c:v>市场竞争激烈</c:v>
                </c:pt>
                <c:pt idx="7">
                  <c:v>市场需求萎缩</c:v>
                </c:pt>
              </c:strCache>
            </c:strRef>
          </c:cat>
          <c:val>
            <c:numRef>
              <c:f>Sheet1!$E$134:$E$141</c:f>
              <c:numCache>
                <c:formatCode>General</c:formatCode>
                <c:ptCount val="8"/>
                <c:pt idx="0">
                  <c:v>5.77</c:v>
                </c:pt>
                <c:pt idx="1">
                  <c:v>5.93</c:v>
                </c:pt>
                <c:pt idx="2">
                  <c:v>5.98</c:v>
                </c:pt>
                <c:pt idx="3">
                  <c:v>6.05</c:v>
                </c:pt>
                <c:pt idx="4">
                  <c:v>6.09</c:v>
                </c:pt>
                <c:pt idx="5">
                  <c:v>6.84</c:v>
                </c:pt>
                <c:pt idx="6">
                  <c:v>7.16</c:v>
                </c:pt>
                <c:pt idx="7">
                  <c:v>7.27</c:v>
                </c:pt>
              </c:numCache>
            </c:numRef>
          </c:val>
        </c:ser>
        <c:dLbls>
          <c:showLegendKey val="0"/>
          <c:showVal val="1"/>
          <c:showCatName val="0"/>
          <c:showSerName val="0"/>
          <c:showPercent val="0"/>
          <c:showBubbleSize val="0"/>
        </c:dLbls>
        <c:gapWidth val="182"/>
        <c:axId val="352429184"/>
        <c:axId val="352430720"/>
      </c:barChart>
      <c:catAx>
        <c:axId val="3524291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2430720"/>
        <c:crosses val="autoZero"/>
        <c:auto val="1"/>
        <c:lblAlgn val="ctr"/>
        <c:lblOffset val="100"/>
        <c:noMultiLvlLbl val="0"/>
      </c:catAx>
      <c:valAx>
        <c:axId val="352430720"/>
        <c:scaling>
          <c:orientation val="minMax"/>
        </c:scaling>
        <c:delete val="1"/>
        <c:axPos val="b"/>
        <c:numFmt formatCode="General" sourceLinked="1"/>
        <c:majorTickMark val="none"/>
        <c:minorTickMark val="none"/>
        <c:tickLblPos val="nextTo"/>
        <c:crossAx val="352429184"/>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Sheet1!$C$148:$C$157</c:f>
              <c:strCache>
                <c:ptCount val="10"/>
                <c:pt idx="0">
                  <c:v>其他</c:v>
                </c:pt>
                <c:pt idx="1">
                  <c:v>能源合同管理</c:v>
                </c:pt>
                <c:pt idx="2">
                  <c:v>城市规划</c:v>
                </c:pt>
                <c:pt idx="3">
                  <c:v>PPP</c:v>
                </c:pt>
                <c:pt idx="4">
                  <c:v>全过程工程咨询</c:v>
                </c:pt>
                <c:pt idx="5">
                  <c:v>投资运营</c:v>
                </c:pt>
                <c:pt idx="6">
                  <c:v>工程设计</c:v>
                </c:pt>
                <c:pt idx="7">
                  <c:v>工程勘察</c:v>
                </c:pt>
                <c:pt idx="8">
                  <c:v>设计施工一体化</c:v>
                </c:pt>
                <c:pt idx="9">
                  <c:v>工程总承包</c:v>
                </c:pt>
              </c:strCache>
            </c:strRef>
          </c:cat>
          <c:val>
            <c:numRef>
              <c:f>Sheet1!$D$148:$D$157</c:f>
              <c:numCache>
                <c:formatCode>General</c:formatCode>
                <c:ptCount val="10"/>
                <c:pt idx="0">
                  <c:v>5.9</c:v>
                </c:pt>
                <c:pt idx="1">
                  <c:v>6.45</c:v>
                </c:pt>
                <c:pt idx="2">
                  <c:v>6.66</c:v>
                </c:pt>
                <c:pt idx="3">
                  <c:v>6.83</c:v>
                </c:pt>
                <c:pt idx="4">
                  <c:v>6.9</c:v>
                </c:pt>
                <c:pt idx="5">
                  <c:v>6.91</c:v>
                </c:pt>
                <c:pt idx="6">
                  <c:v>7.22</c:v>
                </c:pt>
                <c:pt idx="7">
                  <c:v>7.37</c:v>
                </c:pt>
                <c:pt idx="8">
                  <c:v>7.43</c:v>
                </c:pt>
                <c:pt idx="9">
                  <c:v>7.86</c:v>
                </c:pt>
              </c:numCache>
            </c:numRef>
          </c:val>
        </c:ser>
        <c:dLbls>
          <c:showLegendKey val="0"/>
          <c:showVal val="1"/>
          <c:showCatName val="0"/>
          <c:showSerName val="0"/>
          <c:showPercent val="0"/>
          <c:showBubbleSize val="0"/>
        </c:dLbls>
        <c:gapWidth val="182"/>
        <c:axId val="353767808"/>
        <c:axId val="353770496"/>
      </c:barChart>
      <c:catAx>
        <c:axId val="3537678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3770496"/>
        <c:crosses val="autoZero"/>
        <c:auto val="1"/>
        <c:lblAlgn val="ctr"/>
        <c:lblOffset val="100"/>
        <c:noMultiLvlLbl val="0"/>
      </c:catAx>
      <c:valAx>
        <c:axId val="353770496"/>
        <c:scaling>
          <c:orientation val="minMax"/>
        </c:scaling>
        <c:delete val="1"/>
        <c:axPos val="b"/>
        <c:numFmt formatCode="General" sourceLinked="1"/>
        <c:majorTickMark val="none"/>
        <c:minorTickMark val="none"/>
        <c:tickLblPos val="nextTo"/>
        <c:crossAx val="35376780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Sheet1!$E$165:$E$174</c:f>
              <c:strCache>
                <c:ptCount val="10"/>
                <c:pt idx="0">
                  <c:v>破产清算</c:v>
                </c:pt>
                <c:pt idx="1">
                  <c:v>其他</c:v>
                </c:pt>
                <c:pt idx="2">
                  <c:v>适当降薪，缩减企业人员、规模</c:v>
                </c:pt>
                <c:pt idx="3">
                  <c:v>申请贷款或政策性补贴</c:v>
                </c:pt>
                <c:pt idx="4">
                  <c:v>调整业务机构</c:v>
                </c:pt>
                <c:pt idx="5">
                  <c:v>加大自主创新力度</c:v>
                </c:pt>
                <c:pt idx="6">
                  <c:v>拓展新业务领域</c:v>
                </c:pt>
                <c:pt idx="7">
                  <c:v>创新服务模式</c:v>
                </c:pt>
                <c:pt idx="8">
                  <c:v>调整经营方式</c:v>
                </c:pt>
                <c:pt idx="9">
                  <c:v>远程办公</c:v>
                </c:pt>
              </c:strCache>
            </c:strRef>
          </c:cat>
          <c:val>
            <c:numRef>
              <c:f>Sheet1!$F$165:$F$174</c:f>
              <c:numCache>
                <c:formatCode>0.0%</c:formatCode>
                <c:ptCount val="10"/>
                <c:pt idx="0">
                  <c:v>6.7567567567567597E-3</c:v>
                </c:pt>
                <c:pt idx="1">
                  <c:v>8.1081081081081099E-2</c:v>
                </c:pt>
                <c:pt idx="2">
                  <c:v>0.21621621621621601</c:v>
                </c:pt>
                <c:pt idx="3">
                  <c:v>0.25675675675675702</c:v>
                </c:pt>
                <c:pt idx="4">
                  <c:v>0.36486486486486502</c:v>
                </c:pt>
                <c:pt idx="5">
                  <c:v>0.43918918918918898</c:v>
                </c:pt>
                <c:pt idx="6">
                  <c:v>0.47297297297297303</c:v>
                </c:pt>
                <c:pt idx="7">
                  <c:v>0.59459459459459496</c:v>
                </c:pt>
                <c:pt idx="8">
                  <c:v>0.63513513513513498</c:v>
                </c:pt>
                <c:pt idx="9">
                  <c:v>0.891891891891892</c:v>
                </c:pt>
              </c:numCache>
            </c:numRef>
          </c:val>
        </c:ser>
        <c:dLbls>
          <c:showLegendKey val="0"/>
          <c:showVal val="1"/>
          <c:showCatName val="0"/>
          <c:showSerName val="0"/>
          <c:showPercent val="0"/>
          <c:showBubbleSize val="0"/>
        </c:dLbls>
        <c:gapWidth val="182"/>
        <c:axId val="353781248"/>
        <c:axId val="353816960"/>
      </c:barChart>
      <c:catAx>
        <c:axId val="3537812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53816960"/>
        <c:crosses val="autoZero"/>
        <c:auto val="1"/>
        <c:lblAlgn val="ctr"/>
        <c:lblOffset val="100"/>
        <c:noMultiLvlLbl val="0"/>
      </c:catAx>
      <c:valAx>
        <c:axId val="353816960"/>
        <c:scaling>
          <c:orientation val="minMax"/>
        </c:scaling>
        <c:delete val="1"/>
        <c:axPos val="b"/>
        <c:numFmt formatCode="0.0%" sourceLinked="1"/>
        <c:majorTickMark val="none"/>
        <c:minorTickMark val="none"/>
        <c:tickLblPos val="nextTo"/>
        <c:crossAx val="35378124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使用中文字体)"/>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Sheet1!$C$183:$C$194</c:f>
              <c:strCache>
                <c:ptCount val="12"/>
                <c:pt idx="0">
                  <c:v>组织架构模式</c:v>
                </c:pt>
                <c:pt idx="1">
                  <c:v>企业薪酬体系</c:v>
                </c:pt>
                <c:pt idx="2">
                  <c:v>产品开发与升级</c:v>
                </c:pt>
                <c:pt idx="3">
                  <c:v>生产方式</c:v>
                </c:pt>
                <c:pt idx="4">
                  <c:v>客户服务方式</c:v>
                </c:pt>
                <c:pt idx="5">
                  <c:v>市场推广与开拓方式</c:v>
                </c:pt>
                <c:pt idx="6">
                  <c:v>人才管理</c:v>
                </c:pt>
                <c:pt idx="7">
                  <c:v>办公方式</c:v>
                </c:pt>
                <c:pt idx="8">
                  <c:v>公司治理</c:v>
                </c:pt>
                <c:pt idx="9">
                  <c:v>内部精细化管理</c:v>
                </c:pt>
                <c:pt idx="10">
                  <c:v>信息化应用水平</c:v>
                </c:pt>
                <c:pt idx="11">
                  <c:v>风险管理</c:v>
                </c:pt>
              </c:strCache>
            </c:strRef>
          </c:cat>
          <c:val>
            <c:numRef>
              <c:f>Sheet1!$D$183:$D$194</c:f>
              <c:numCache>
                <c:formatCode>General</c:formatCode>
                <c:ptCount val="12"/>
                <c:pt idx="0">
                  <c:v>6.32</c:v>
                </c:pt>
                <c:pt idx="1">
                  <c:v>6.7</c:v>
                </c:pt>
                <c:pt idx="2">
                  <c:v>6.89</c:v>
                </c:pt>
                <c:pt idx="3">
                  <c:v>6.97</c:v>
                </c:pt>
                <c:pt idx="4">
                  <c:v>7.24</c:v>
                </c:pt>
                <c:pt idx="5">
                  <c:v>7.28</c:v>
                </c:pt>
                <c:pt idx="6">
                  <c:v>7.4</c:v>
                </c:pt>
                <c:pt idx="7">
                  <c:v>7.43</c:v>
                </c:pt>
                <c:pt idx="8">
                  <c:v>7.51</c:v>
                </c:pt>
                <c:pt idx="9">
                  <c:v>7.61</c:v>
                </c:pt>
                <c:pt idx="10">
                  <c:v>7.9</c:v>
                </c:pt>
                <c:pt idx="11">
                  <c:v>7.95</c:v>
                </c:pt>
              </c:numCache>
            </c:numRef>
          </c:val>
        </c:ser>
        <c:dLbls>
          <c:showLegendKey val="0"/>
          <c:showVal val="1"/>
          <c:showCatName val="0"/>
          <c:showSerName val="0"/>
          <c:showPercent val="0"/>
          <c:showBubbleSize val="0"/>
        </c:dLbls>
        <c:gapWidth val="182"/>
        <c:axId val="353823360"/>
        <c:axId val="361960960"/>
      </c:barChart>
      <c:catAx>
        <c:axId val="3538233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使用中文字体)"/>
                <a:ea typeface="华文楷体" panose="02010600040101010101" charset="-122"/>
                <a:cs typeface="+mn-cs"/>
              </a:defRPr>
            </a:pPr>
            <a:endParaRPr lang="zh-CN"/>
          </a:p>
        </c:txPr>
        <c:crossAx val="361960960"/>
        <c:crosses val="autoZero"/>
        <c:auto val="1"/>
        <c:lblAlgn val="ctr"/>
        <c:lblOffset val="100"/>
        <c:noMultiLvlLbl val="0"/>
      </c:catAx>
      <c:valAx>
        <c:axId val="361960960"/>
        <c:scaling>
          <c:orientation val="minMax"/>
        </c:scaling>
        <c:delete val="1"/>
        <c:axPos val="b"/>
        <c:numFmt formatCode="General" sourceLinked="1"/>
        <c:majorTickMark val="none"/>
        <c:minorTickMark val="none"/>
        <c:tickLblPos val="nextTo"/>
        <c:crossAx val="353823360"/>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a:pPr>
      <a:endParaRPr lang="zh-CN"/>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华文楷体" panose="02010600040101010101" charset="-122"/>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Sheet1!$C$197:$C$204</c:f>
              <c:strCache>
                <c:ptCount val="8"/>
                <c:pt idx="0">
                  <c:v>尝试线上招聘</c:v>
                </c:pt>
                <c:pt idx="1">
                  <c:v>借助人才测评工具，更加精准地识人用人</c:v>
                </c:pt>
                <c:pt idx="2">
                  <c:v>开展人才盘点，摸清现有人才情况，以便
进行针对性的能力提升</c:v>
                </c:pt>
                <c:pt idx="3">
                  <c:v>探索适宜远程办公和业务受阻期间的人才管理、评估、激励办法</c:v>
                </c:pt>
                <c:pt idx="4">
                  <c:v>组织线上培训或者建立在线学习平台</c:v>
                </c:pt>
                <c:pt idx="5">
                  <c:v>加强人才管理信息化建设，积累人才数据，提升人才管理效率和科学性</c:v>
                </c:pt>
                <c:pt idx="6">
                  <c:v>重构人才标准，从关注技术向
关注技术+能力素质+内在特质转变</c:v>
                </c:pt>
                <c:pt idx="7">
                  <c:v>关注员工心理状态，增强人文关怀</c:v>
                </c:pt>
              </c:strCache>
            </c:strRef>
          </c:cat>
          <c:val>
            <c:numRef>
              <c:f>Sheet1!$D$197:$D$204</c:f>
              <c:numCache>
                <c:formatCode>General</c:formatCode>
                <c:ptCount val="8"/>
                <c:pt idx="0">
                  <c:v>7.09</c:v>
                </c:pt>
                <c:pt idx="1">
                  <c:v>7.25</c:v>
                </c:pt>
                <c:pt idx="2">
                  <c:v>7.39</c:v>
                </c:pt>
                <c:pt idx="3">
                  <c:v>7.61</c:v>
                </c:pt>
                <c:pt idx="4">
                  <c:v>7.64</c:v>
                </c:pt>
                <c:pt idx="5">
                  <c:v>7.69</c:v>
                </c:pt>
                <c:pt idx="6">
                  <c:v>7.71</c:v>
                </c:pt>
                <c:pt idx="7">
                  <c:v>7.91</c:v>
                </c:pt>
              </c:numCache>
            </c:numRef>
          </c:val>
        </c:ser>
        <c:dLbls>
          <c:showLegendKey val="0"/>
          <c:showVal val="1"/>
          <c:showCatName val="0"/>
          <c:showSerName val="0"/>
          <c:showPercent val="0"/>
          <c:showBubbleSize val="0"/>
        </c:dLbls>
        <c:gapWidth val="182"/>
        <c:axId val="361996288"/>
        <c:axId val="361998976"/>
      </c:barChart>
      <c:catAx>
        <c:axId val="3619962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华文楷体" panose="02010600040101010101" charset="-122"/>
                <a:ea typeface="华文楷体" panose="02010600040101010101" charset="-122"/>
                <a:cs typeface="+mn-cs"/>
              </a:defRPr>
            </a:pPr>
            <a:endParaRPr lang="zh-CN"/>
          </a:p>
        </c:txPr>
        <c:crossAx val="361998976"/>
        <c:crosses val="autoZero"/>
        <c:auto val="1"/>
        <c:lblAlgn val="ctr"/>
        <c:lblOffset val="100"/>
        <c:noMultiLvlLbl val="0"/>
      </c:catAx>
      <c:valAx>
        <c:axId val="361998976"/>
        <c:scaling>
          <c:orientation val="minMax"/>
        </c:scaling>
        <c:delete val="1"/>
        <c:axPos val="b"/>
        <c:numFmt formatCode="General" sourceLinked="1"/>
        <c:majorTickMark val="none"/>
        <c:minorTickMark val="none"/>
        <c:tickLblPos val="nextTo"/>
        <c:crossAx val="36199628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lang="zh-CN" sz="900">
          <a:latin typeface="华文楷体" panose="02010600040101010101" charset="-122"/>
          <a:ea typeface="华文楷体" panose="02010600040101010101" charset="-122"/>
        </a:defRPr>
      </a:pPr>
      <a:endParaRPr lang="zh-CN"/>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华文楷体" panose="02010600040101010101" charset="-122"/>
                    <a:ea typeface="华文楷体" panose="02010600040101010101" charset="-122"/>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Sheet1!$C$213:$C$219</c:f>
              <c:strCache>
                <c:ptCount val="7"/>
                <c:pt idx="0">
                  <c:v>其他</c:v>
                </c:pt>
                <c:pt idx="1">
                  <c:v>出台相关刺激和促进消费的政策</c:v>
                </c:pt>
                <c:pt idx="2">
                  <c:v>加大对基础设施的投资</c:v>
                </c:pt>
                <c:pt idx="3">
                  <c:v>推行灵活的用工制度</c:v>
                </c:pt>
                <c:pt idx="4">
                  <c:v>加大对企业的财政、金融政策支持，探索
和发挥应急转贷资金作用</c:v>
                </c:pt>
                <c:pt idx="5">
                  <c:v>在保障疫情防控的基础上尽力恢复和推动企业复工复产</c:v>
                </c:pt>
                <c:pt idx="6">
                  <c:v>减轻企业负担，实施援企稳岗、减轻税费等政策</c:v>
                </c:pt>
              </c:strCache>
            </c:strRef>
          </c:cat>
          <c:val>
            <c:numRef>
              <c:f>Sheet1!$D$213:$D$219</c:f>
              <c:numCache>
                <c:formatCode>0.0%</c:formatCode>
                <c:ptCount val="7"/>
                <c:pt idx="0">
                  <c:v>5.4054054054054099E-2</c:v>
                </c:pt>
                <c:pt idx="1">
                  <c:v>0.58783783783783805</c:v>
                </c:pt>
                <c:pt idx="2">
                  <c:v>0.58783783783783805</c:v>
                </c:pt>
                <c:pt idx="3">
                  <c:v>0.66891891891891897</c:v>
                </c:pt>
                <c:pt idx="4">
                  <c:v>0.67567567567567599</c:v>
                </c:pt>
                <c:pt idx="5">
                  <c:v>0.87837837837837796</c:v>
                </c:pt>
                <c:pt idx="6">
                  <c:v>0.97297297297297303</c:v>
                </c:pt>
              </c:numCache>
            </c:numRef>
          </c:val>
        </c:ser>
        <c:dLbls>
          <c:showLegendKey val="0"/>
          <c:showVal val="1"/>
          <c:showCatName val="0"/>
          <c:showSerName val="0"/>
          <c:showPercent val="0"/>
          <c:showBubbleSize val="0"/>
        </c:dLbls>
        <c:gapWidth val="182"/>
        <c:axId val="362009728"/>
        <c:axId val="364314624"/>
      </c:barChart>
      <c:catAx>
        <c:axId val="362009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华文楷体" panose="02010600040101010101" charset="-122"/>
                <a:ea typeface="华文楷体" panose="02010600040101010101" charset="-122"/>
                <a:cs typeface="+mn-cs"/>
              </a:defRPr>
            </a:pPr>
            <a:endParaRPr lang="zh-CN"/>
          </a:p>
        </c:txPr>
        <c:crossAx val="364314624"/>
        <c:crosses val="autoZero"/>
        <c:auto val="1"/>
        <c:lblAlgn val="ctr"/>
        <c:lblOffset val="100"/>
        <c:noMultiLvlLbl val="0"/>
      </c:catAx>
      <c:valAx>
        <c:axId val="364314624"/>
        <c:scaling>
          <c:orientation val="minMax"/>
        </c:scaling>
        <c:delete val="1"/>
        <c:axPos val="b"/>
        <c:numFmt formatCode="0.0%" sourceLinked="1"/>
        <c:majorTickMark val="none"/>
        <c:minorTickMark val="none"/>
        <c:tickLblPos val="nextTo"/>
        <c:crossAx val="362009728"/>
        <c:crosses val="autoZero"/>
        <c:crossBetween val="between"/>
      </c:valAx>
      <c:spPr>
        <a:noFill/>
        <a:ln>
          <a:noFill/>
        </a:ln>
        <a:effectLst/>
      </c:spPr>
    </c:plotArea>
    <c:plotVisOnly val="1"/>
    <c:dispBlanksAs val="gap"/>
    <c:showDLblsOverMax val="0"/>
  </c:chart>
  <c:spPr>
    <a:noFill/>
    <a:ln w="9525" cap="flat" cmpd="sng" algn="ctr">
      <a:noFill/>
      <a:round/>
    </a:ln>
    <a:effectLst/>
  </c:spPr>
  <c:txPr>
    <a:bodyPr/>
    <a:lstStyle/>
    <a:p>
      <a:pPr>
        <a:defRPr lang="zh-CN" sz="900">
          <a:latin typeface="华文楷体" panose="02010600040101010101" charset="-122"/>
          <a:ea typeface="华文楷体" panose="02010600040101010101" charset="-122"/>
        </a:defRPr>
      </a:pPr>
      <a:endParaRPr lang="zh-CN"/>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1"/>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E40301C-52A4-4548-A504-7840EF449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27</Pages>
  <Words>2085</Words>
  <Characters>11887</Characters>
  <Application>Microsoft Office Word</Application>
  <DocSecurity>0</DocSecurity>
  <Lines>99</Lines>
  <Paragraphs>27</Paragraphs>
  <ScaleCrop>false</ScaleCrop>
  <Company>Microsoft</Company>
  <LinksUpToDate>false</LinksUpToDate>
  <CharactersWithSpaces>13945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tacter</dc:creator>
  <cp:lastModifiedBy>Microsoft</cp:lastModifiedBy>
  <cp:revision>216</cp:revision>
  <cp:lastPrinted>2020-02-19T09:20:00Z</cp:lastPrinted>
  <dcterms:created xsi:type="dcterms:W3CDTF">2020-02-25T04:59:00Z</dcterms:created>
  <dcterms:modified xsi:type="dcterms:W3CDTF">2020-03-02T01:54:00Z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