
<file path=[Content_Types].xml><?xml version="1.0" encoding="utf-8"?>
<Types xmlns="http://schemas.openxmlformats.org/package/2006/content-types">
  <Default Extension="xml" ContentType="application/xml"/>
  <Default Extension="emf" ContentType="image/x-em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eastAsia="黑体"/>
          <w:b/>
          <w:sz w:val="28"/>
          <w:szCs w:val="28"/>
        </w:rPr>
      </w:pPr>
      <w:bookmarkStart w:id="0" w:name="_Toc10129560"/>
      <w:bookmarkStart w:id="1" w:name="_Toc15878984"/>
      <w:bookmarkStart w:id="2" w:name="_Toc10129559"/>
      <w:bookmarkStart w:id="3" w:name="_Toc15878983"/>
      <w:bookmarkStart w:id="4" w:name="_Toc229226084"/>
      <w:r>
        <w:rPr>
          <w:rFonts w:hint="eastAsia" w:eastAsia="黑体"/>
          <w:b/>
          <w:sz w:val="28"/>
          <w:szCs w:val="28"/>
        </w:rPr>
        <w:t xml:space="preserve"> </w:t>
      </w:r>
    </w:p>
    <w:p>
      <w:pPr>
        <w:keepNext w:val="0"/>
        <w:keepLines w:val="0"/>
        <w:pageBreakBefore w:val="0"/>
        <w:widowControl w:val="0"/>
        <w:kinsoku/>
        <w:wordWrap/>
        <w:overflowPunct/>
        <w:topLinePunct w:val="0"/>
        <w:autoSpaceDE/>
        <w:autoSpaceDN/>
        <w:bidi w:val="0"/>
        <w:adjustRightInd w:val="0"/>
        <w:snapToGrid w:val="0"/>
        <w:spacing w:line="520" w:lineRule="exact"/>
        <w:ind w:firstLine="640"/>
        <w:jc w:val="center"/>
        <w:textAlignment w:val="auto"/>
        <w:outlineLvl w:val="9"/>
        <w:rPr>
          <w:sz w:val="32"/>
          <w:szCs w:val="32"/>
        </w:rPr>
      </w:pPr>
      <w:r>
        <w:rPr>
          <w:rFonts w:hint="eastAsia" w:ascii="方正小标宋简体" w:hAnsi="方正小标宋简体" w:eastAsia="方正小标宋简体" w:cs="方正小标宋简体"/>
          <w:b w:val="0"/>
          <w:bCs/>
          <w:sz w:val="44"/>
          <w:szCs w:val="44"/>
          <w:lang w:val="en-US" w:eastAsia="zh-CN"/>
        </w:rPr>
        <w:t xml:space="preserve"> </w:t>
      </w:r>
      <w:bookmarkStart w:id="36" w:name="_GoBack"/>
      <w:bookmarkEnd w:id="36"/>
    </w:p>
    <w:p>
      <w:pPr>
        <w:ind w:firstLine="640"/>
        <w:jc w:val="center"/>
        <w:rPr>
          <w:sz w:val="32"/>
          <w:szCs w:val="32"/>
        </w:rPr>
      </w:pPr>
    </w:p>
    <w:p>
      <w:pPr>
        <w:autoSpaceDE w:val="0"/>
        <w:autoSpaceDN w:val="0"/>
        <w:ind w:firstLine="1040"/>
        <w:jc w:val="center"/>
        <w:rPr>
          <w:rFonts w:ascii="黑体" w:eastAsia="黑体" w:cs="黑体"/>
          <w:sz w:val="52"/>
          <w:szCs w:val="52"/>
        </w:rPr>
      </w:pPr>
    </w:p>
    <w:p>
      <w:pPr>
        <w:ind w:firstLine="0" w:firstLineChars="0"/>
        <w:jc w:val="center"/>
        <w:rPr>
          <w:rFonts w:ascii="黑体" w:eastAsia="黑体" w:cs="黑体"/>
          <w:sz w:val="52"/>
          <w:szCs w:val="52"/>
        </w:rPr>
      </w:pPr>
      <w:r>
        <w:rPr>
          <w:rFonts w:hint="eastAsia" w:ascii="黑体" w:eastAsia="黑体" w:cs="黑体"/>
          <w:sz w:val="52"/>
          <w:szCs w:val="52"/>
        </w:rPr>
        <w:t>云南省建筑消能减震设计</w:t>
      </w:r>
    </w:p>
    <w:p>
      <w:pPr>
        <w:ind w:firstLine="0" w:firstLineChars="0"/>
        <w:jc w:val="center"/>
        <w:rPr>
          <w:rFonts w:eastAsia="黑体"/>
          <w:sz w:val="32"/>
          <w:szCs w:val="32"/>
        </w:rPr>
      </w:pPr>
      <w:r>
        <w:rPr>
          <w:rFonts w:hint="eastAsia" w:ascii="黑体" w:eastAsia="黑体" w:cs="黑体"/>
          <w:sz w:val="52"/>
          <w:szCs w:val="52"/>
        </w:rPr>
        <w:t>与审查技术导则</w:t>
      </w: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640"/>
        <w:jc w:val="center"/>
        <w:rPr>
          <w:sz w:val="32"/>
          <w:szCs w:val="32"/>
        </w:rPr>
      </w:pPr>
    </w:p>
    <w:p>
      <w:pPr>
        <w:ind w:firstLine="0" w:firstLineChars="0"/>
        <w:jc w:val="center"/>
        <w:rPr>
          <w:b/>
          <w:sz w:val="32"/>
          <w:szCs w:val="32"/>
        </w:rPr>
      </w:pPr>
      <w:r>
        <w:rPr>
          <w:b/>
          <w:sz w:val="32"/>
          <w:szCs w:val="32"/>
        </w:rPr>
        <w:t>201</w:t>
      </w:r>
      <w:r>
        <w:rPr>
          <w:rFonts w:hint="eastAsia"/>
          <w:b/>
          <w:sz w:val="32"/>
          <w:szCs w:val="32"/>
        </w:rPr>
        <w:t>7年 月</w:t>
      </w:r>
    </w:p>
    <w:p>
      <w:pPr>
        <w:ind w:firstLine="640"/>
        <w:jc w:val="center"/>
      </w:pPr>
      <w:r>
        <w:rPr>
          <w:sz w:val="32"/>
          <w:szCs w:val="32"/>
        </w:rPr>
        <w:br w:type="page"/>
      </w:r>
      <w:r>
        <w:rPr>
          <w:rFonts w:hint="eastAsia"/>
        </w:rPr>
        <w:t>前</w:t>
      </w:r>
      <w:r>
        <w:t xml:space="preserve">  </w:t>
      </w:r>
      <w:r>
        <w:rPr>
          <w:rFonts w:hint="eastAsia"/>
        </w:rPr>
        <w:t>言</w:t>
      </w:r>
    </w:p>
    <w:p>
      <w:pPr>
        <w:pStyle w:val="55"/>
        <w:spacing w:line="420" w:lineRule="exact"/>
        <w:ind w:firstLine="420"/>
        <w:rPr>
          <w:sz w:val="21"/>
        </w:rPr>
      </w:pPr>
      <w:r>
        <w:rPr>
          <w:rFonts w:hint="eastAsia"/>
          <w:sz w:val="21"/>
        </w:rPr>
        <w:t>本导则是根据云南省住房和城乡建设厅的委托，由昆明恒基建设工程施工图审查中心会同有关设计、研究和教学单位编制而成。在编制过程中，编制组开展了专题调查和研究，总结了我省近年来应用消能减震技术的工程实践经验并借鉴现行的有关规范标准和相关技术资料，在广泛征求意见的基础上，制订了本导则。</w:t>
      </w:r>
    </w:p>
    <w:p>
      <w:pPr>
        <w:pStyle w:val="55"/>
        <w:spacing w:line="420" w:lineRule="exact"/>
        <w:ind w:firstLine="420"/>
        <w:rPr>
          <w:sz w:val="21"/>
        </w:rPr>
      </w:pPr>
      <w:r>
        <w:rPr>
          <w:rFonts w:hint="eastAsia"/>
          <w:sz w:val="21"/>
        </w:rPr>
        <w:t>本规范主要内容有：</w:t>
      </w:r>
      <w:r>
        <w:rPr>
          <w:sz w:val="21"/>
        </w:rPr>
        <w:t>1.</w:t>
      </w:r>
      <w:r>
        <w:rPr>
          <w:rFonts w:hint="eastAsia"/>
          <w:sz w:val="21"/>
        </w:rPr>
        <w:t>总则；</w:t>
      </w:r>
      <w:r>
        <w:rPr>
          <w:sz w:val="21"/>
        </w:rPr>
        <w:t>2.</w:t>
      </w:r>
      <w:r>
        <w:rPr>
          <w:rFonts w:hint="eastAsia"/>
          <w:sz w:val="21"/>
        </w:rPr>
        <w:t>术语；3</w:t>
      </w:r>
      <w:r>
        <w:rPr>
          <w:sz w:val="21"/>
        </w:rPr>
        <w:t>.</w:t>
      </w:r>
      <w:r>
        <w:rPr>
          <w:rFonts w:hint="eastAsia"/>
          <w:sz w:val="21"/>
        </w:rPr>
        <w:t>建筑消能器材的分类与选用；4</w:t>
      </w:r>
      <w:r>
        <w:rPr>
          <w:sz w:val="21"/>
        </w:rPr>
        <w:t>.</w:t>
      </w:r>
      <w:r>
        <w:rPr>
          <w:rFonts w:hint="eastAsia"/>
          <w:sz w:val="21"/>
        </w:rPr>
        <w:t>建筑消能减震设计与审查要点；5</w:t>
      </w:r>
      <w:r>
        <w:rPr>
          <w:sz w:val="21"/>
        </w:rPr>
        <w:t>.</w:t>
      </w:r>
      <w:r>
        <w:rPr>
          <w:rFonts w:hint="eastAsia"/>
          <w:sz w:val="21"/>
        </w:rPr>
        <w:t>建筑消能减震设计流程等。</w:t>
      </w:r>
      <w:r>
        <w:rPr>
          <w:sz w:val="21"/>
        </w:rPr>
        <w:t xml:space="preserve">  </w:t>
      </w:r>
    </w:p>
    <w:p>
      <w:pPr>
        <w:pStyle w:val="55"/>
        <w:spacing w:line="420" w:lineRule="exact"/>
        <w:ind w:firstLine="420"/>
        <w:rPr>
          <w:sz w:val="21"/>
        </w:rPr>
      </w:pPr>
      <w:r>
        <w:rPr>
          <w:rFonts w:hint="eastAsia"/>
          <w:sz w:val="21"/>
        </w:rPr>
        <w:t>为了提高导则质量，请各单位在执行本导则的过程中，注意总结经验，积累资料，随时将有关的意见和建议反馈给主编单位，以供今后修订时参考。有关局部修订的信息和条文内容将刊登在云南省土木建筑学会建筑结构专业委员会网站</w:t>
      </w:r>
      <w:r>
        <w:rPr>
          <w:sz w:val="21"/>
        </w:rPr>
        <w:t>(http://www.ynbsc.org)</w:t>
      </w:r>
      <w:r>
        <w:rPr>
          <w:rFonts w:hint="eastAsia"/>
          <w:sz w:val="21"/>
        </w:rPr>
        <w:t>上。</w:t>
      </w:r>
    </w:p>
    <w:p>
      <w:pPr>
        <w:pStyle w:val="55"/>
        <w:spacing w:line="420" w:lineRule="exact"/>
        <w:ind w:firstLine="420"/>
        <w:rPr>
          <w:sz w:val="21"/>
        </w:rPr>
      </w:pPr>
      <w:r>
        <w:rPr>
          <w:rFonts w:hint="eastAsia"/>
          <w:sz w:val="21"/>
        </w:rPr>
        <w:t>本导则主编单位：昆明恒基建设工程施工图审查中心</w:t>
      </w:r>
    </w:p>
    <w:p>
      <w:pPr>
        <w:pStyle w:val="55"/>
        <w:spacing w:line="420" w:lineRule="exact"/>
        <w:ind w:firstLine="420"/>
        <w:rPr>
          <w:sz w:val="21"/>
        </w:rPr>
      </w:pPr>
      <w:r>
        <w:rPr>
          <w:rFonts w:hint="eastAsia"/>
          <w:sz w:val="21"/>
        </w:rPr>
        <w:t>本导则参编单位：昆明理工大学</w:t>
      </w:r>
    </w:p>
    <w:p>
      <w:pPr>
        <w:pStyle w:val="55"/>
        <w:spacing w:line="420" w:lineRule="exact"/>
        <w:ind w:firstLine="2100" w:firstLineChars="1000"/>
        <w:rPr>
          <w:sz w:val="21"/>
        </w:rPr>
      </w:pPr>
      <w:r>
        <w:rPr>
          <w:rFonts w:hint="eastAsia"/>
          <w:sz w:val="21"/>
        </w:rPr>
        <w:t>云南省设计院集团</w:t>
      </w:r>
    </w:p>
    <w:p>
      <w:pPr>
        <w:pStyle w:val="55"/>
        <w:spacing w:line="420" w:lineRule="exact"/>
        <w:ind w:firstLine="2100" w:firstLineChars="1000"/>
        <w:rPr>
          <w:sz w:val="21"/>
        </w:rPr>
      </w:pPr>
      <w:r>
        <w:rPr>
          <w:rFonts w:hint="eastAsia"/>
          <w:sz w:val="21"/>
        </w:rPr>
        <w:t>昆明有色冶金设计研究院股份公司</w:t>
      </w:r>
    </w:p>
    <w:p>
      <w:pPr>
        <w:pStyle w:val="55"/>
        <w:spacing w:line="420" w:lineRule="exact"/>
        <w:ind w:firstLine="2100" w:firstLineChars="1000"/>
        <w:rPr>
          <w:sz w:val="21"/>
        </w:rPr>
      </w:pPr>
      <w:r>
        <w:rPr>
          <w:rFonts w:hint="eastAsia"/>
          <w:sz w:val="21"/>
        </w:rPr>
        <w:t>云南安泰建设工程施工图审查中心</w:t>
      </w:r>
    </w:p>
    <w:p>
      <w:pPr>
        <w:pStyle w:val="55"/>
        <w:spacing w:line="420" w:lineRule="exact"/>
        <w:ind w:firstLine="2100" w:firstLineChars="1000"/>
        <w:rPr>
          <w:sz w:val="21"/>
        </w:rPr>
      </w:pPr>
      <w:r>
        <w:rPr>
          <w:rFonts w:hint="eastAsia"/>
          <w:sz w:val="21"/>
        </w:rPr>
        <w:t>云南建筑工程设计院</w:t>
      </w:r>
      <w:r>
        <w:rPr>
          <w:sz w:val="21"/>
        </w:rPr>
        <w:t>……</w:t>
      </w:r>
    </w:p>
    <w:p>
      <w:pPr>
        <w:pStyle w:val="55"/>
        <w:spacing w:line="420" w:lineRule="exact"/>
        <w:ind w:firstLine="420"/>
        <w:rPr>
          <w:sz w:val="21"/>
        </w:rPr>
      </w:pPr>
      <w:r>
        <w:rPr>
          <w:rFonts w:hint="eastAsia"/>
          <w:sz w:val="21"/>
        </w:rPr>
        <w:t>本导则主要起草人：</w:t>
      </w:r>
    </w:p>
    <w:p>
      <w:pPr>
        <w:ind w:firstLine="480"/>
        <w:jc w:val="center"/>
      </w:pPr>
      <w:r>
        <w:rPr>
          <w:sz w:val="24"/>
          <w:szCs w:val="24"/>
        </w:rPr>
        <w:br w:type="page"/>
      </w:r>
      <w:r>
        <w:rPr>
          <w:rFonts w:hint="eastAsia"/>
        </w:rPr>
        <w:t>目</w:t>
      </w:r>
      <w:r>
        <w:t xml:space="preserve">  </w:t>
      </w:r>
      <w:r>
        <w:rPr>
          <w:rFonts w:hint="eastAsia"/>
        </w:rPr>
        <w:t>录</w:t>
      </w:r>
    </w:p>
    <w:p>
      <w:pPr>
        <w:pStyle w:val="27"/>
        <w:tabs>
          <w:tab w:val="left" w:pos="840"/>
        </w:tabs>
        <w:ind w:firstLine="482"/>
        <w:rPr>
          <w:rFonts w:asciiTheme="minorHAnsi" w:hAnsiTheme="minorHAnsi" w:eastAsiaTheme="minorEastAsia" w:cstheme="minorBidi"/>
          <w:b w:val="0"/>
          <w:kern w:val="2"/>
          <w:sz w:val="21"/>
          <w:szCs w:val="22"/>
        </w:rPr>
      </w:pPr>
      <w:r>
        <w:rPr>
          <w:b w:val="0"/>
          <w:bCs/>
          <w:sz w:val="24"/>
          <w:szCs w:val="24"/>
        </w:rPr>
        <w:fldChar w:fldCharType="begin"/>
      </w:r>
      <w:r>
        <w:rPr>
          <w:b w:val="0"/>
          <w:bCs/>
          <w:sz w:val="24"/>
          <w:szCs w:val="24"/>
        </w:rPr>
        <w:instrText xml:space="preserve"> TOC \o "1-2" \h \z \u </w:instrText>
      </w:r>
      <w:r>
        <w:rPr>
          <w:b w:val="0"/>
          <w:bCs/>
          <w:sz w:val="24"/>
          <w:szCs w:val="24"/>
        </w:rPr>
        <w:fldChar w:fldCharType="separate"/>
      </w:r>
      <w:r>
        <w:fldChar w:fldCharType="begin"/>
      </w:r>
      <w:r>
        <w:instrText xml:space="preserve"> HYPERLINK \l "_Toc517273840" </w:instrText>
      </w:r>
      <w:r>
        <w:fldChar w:fldCharType="separate"/>
      </w:r>
      <w:r>
        <w:rPr>
          <w:rStyle w:val="39"/>
          <w:color w:val="auto"/>
        </w:rPr>
        <w:t>1</w:t>
      </w:r>
      <w:r>
        <w:rPr>
          <w:rFonts w:asciiTheme="minorHAnsi" w:hAnsiTheme="minorHAnsi" w:eastAsiaTheme="minorEastAsia" w:cstheme="minorBidi"/>
          <w:b w:val="0"/>
          <w:kern w:val="2"/>
          <w:sz w:val="21"/>
          <w:szCs w:val="22"/>
        </w:rPr>
        <w:tab/>
      </w:r>
      <w:r>
        <w:rPr>
          <w:rStyle w:val="39"/>
          <w:rFonts w:hint="eastAsia"/>
          <w:color w:val="auto"/>
        </w:rPr>
        <w:t>总则</w:t>
      </w:r>
      <w:r>
        <w:tab/>
      </w:r>
      <w:r>
        <w:fldChar w:fldCharType="begin"/>
      </w:r>
      <w:r>
        <w:instrText xml:space="preserve"> PAGEREF _Toc517273840 \h </w:instrText>
      </w:r>
      <w:r>
        <w:fldChar w:fldCharType="separate"/>
      </w:r>
      <w:r>
        <w:t>1</w:t>
      </w:r>
      <w:r>
        <w:fldChar w:fldCharType="end"/>
      </w:r>
      <w:r>
        <w:fldChar w:fldCharType="end"/>
      </w:r>
    </w:p>
    <w:p>
      <w:pPr>
        <w:pStyle w:val="27"/>
        <w:tabs>
          <w:tab w:val="left" w:pos="840"/>
        </w:tabs>
        <w:rPr>
          <w:rFonts w:asciiTheme="minorHAnsi" w:hAnsiTheme="minorHAnsi" w:eastAsiaTheme="minorEastAsia" w:cstheme="minorBidi"/>
          <w:b w:val="0"/>
          <w:kern w:val="2"/>
          <w:sz w:val="21"/>
          <w:szCs w:val="22"/>
        </w:rPr>
      </w:pPr>
      <w:r>
        <w:fldChar w:fldCharType="begin"/>
      </w:r>
      <w:r>
        <w:instrText xml:space="preserve"> HYPERLINK \l "_Toc517273841" </w:instrText>
      </w:r>
      <w:r>
        <w:fldChar w:fldCharType="separate"/>
      </w:r>
      <w:r>
        <w:rPr>
          <w:rStyle w:val="39"/>
          <w:color w:val="auto"/>
        </w:rPr>
        <w:t>2</w:t>
      </w:r>
      <w:r>
        <w:rPr>
          <w:rFonts w:asciiTheme="minorHAnsi" w:hAnsiTheme="minorHAnsi" w:eastAsiaTheme="minorEastAsia" w:cstheme="minorBidi"/>
          <w:b w:val="0"/>
          <w:kern w:val="2"/>
          <w:sz w:val="21"/>
          <w:szCs w:val="22"/>
        </w:rPr>
        <w:tab/>
      </w:r>
      <w:r>
        <w:rPr>
          <w:rStyle w:val="39"/>
          <w:rFonts w:hint="eastAsia"/>
          <w:color w:val="auto"/>
        </w:rPr>
        <w:t>术语</w:t>
      </w:r>
      <w:r>
        <w:tab/>
      </w:r>
      <w:r>
        <w:fldChar w:fldCharType="begin"/>
      </w:r>
      <w:r>
        <w:instrText xml:space="preserve"> PAGEREF _Toc517273841 \h </w:instrText>
      </w:r>
      <w:r>
        <w:fldChar w:fldCharType="separate"/>
      </w:r>
      <w:r>
        <w:t>2</w:t>
      </w:r>
      <w:r>
        <w:fldChar w:fldCharType="end"/>
      </w:r>
      <w:r>
        <w:fldChar w:fldCharType="end"/>
      </w:r>
    </w:p>
    <w:p>
      <w:pPr>
        <w:pStyle w:val="27"/>
        <w:tabs>
          <w:tab w:val="left" w:pos="840"/>
        </w:tabs>
        <w:rPr>
          <w:rFonts w:asciiTheme="minorHAnsi" w:hAnsiTheme="minorHAnsi" w:eastAsiaTheme="minorEastAsia" w:cstheme="minorBidi"/>
          <w:b w:val="0"/>
          <w:kern w:val="2"/>
          <w:sz w:val="21"/>
          <w:szCs w:val="22"/>
        </w:rPr>
      </w:pPr>
      <w:r>
        <w:fldChar w:fldCharType="begin"/>
      </w:r>
      <w:r>
        <w:instrText xml:space="preserve"> HYPERLINK \l "_Toc517273842" </w:instrText>
      </w:r>
      <w:r>
        <w:fldChar w:fldCharType="separate"/>
      </w:r>
      <w:r>
        <w:rPr>
          <w:rStyle w:val="39"/>
          <w:color w:val="auto"/>
        </w:rPr>
        <w:t>3</w:t>
      </w:r>
      <w:r>
        <w:rPr>
          <w:rFonts w:asciiTheme="minorHAnsi" w:hAnsiTheme="minorHAnsi" w:eastAsiaTheme="minorEastAsia" w:cstheme="minorBidi"/>
          <w:b w:val="0"/>
          <w:kern w:val="2"/>
          <w:sz w:val="21"/>
          <w:szCs w:val="22"/>
        </w:rPr>
        <w:tab/>
      </w:r>
      <w:r>
        <w:rPr>
          <w:rStyle w:val="39"/>
          <w:rFonts w:hint="eastAsia"/>
          <w:color w:val="auto"/>
        </w:rPr>
        <w:t>建筑消能器材的分类与选用</w:t>
      </w:r>
      <w:r>
        <w:tab/>
      </w:r>
      <w:r>
        <w:fldChar w:fldCharType="begin"/>
      </w:r>
      <w:r>
        <w:instrText xml:space="preserve"> PAGEREF _Toc517273842 \h </w:instrText>
      </w:r>
      <w:r>
        <w:fldChar w:fldCharType="separate"/>
      </w:r>
      <w:r>
        <w:t>4</w:t>
      </w:r>
      <w:r>
        <w:fldChar w:fldCharType="end"/>
      </w:r>
      <w:r>
        <w:fldChar w:fldCharType="end"/>
      </w:r>
    </w:p>
    <w:p>
      <w:pPr>
        <w:pStyle w:val="27"/>
        <w:tabs>
          <w:tab w:val="left" w:pos="840"/>
        </w:tabs>
        <w:rPr>
          <w:rFonts w:asciiTheme="minorHAnsi" w:hAnsiTheme="minorHAnsi" w:eastAsiaTheme="minorEastAsia" w:cstheme="minorBidi"/>
          <w:b w:val="0"/>
          <w:kern w:val="2"/>
          <w:sz w:val="21"/>
          <w:szCs w:val="22"/>
        </w:rPr>
      </w:pPr>
      <w:r>
        <w:fldChar w:fldCharType="begin"/>
      </w:r>
      <w:r>
        <w:instrText xml:space="preserve"> HYPERLINK \l "_Toc517273843" </w:instrText>
      </w:r>
      <w:r>
        <w:fldChar w:fldCharType="separate"/>
      </w:r>
      <w:r>
        <w:rPr>
          <w:rStyle w:val="39"/>
          <w:color w:val="auto"/>
        </w:rPr>
        <w:t>4</w:t>
      </w:r>
      <w:r>
        <w:rPr>
          <w:rFonts w:asciiTheme="minorHAnsi" w:hAnsiTheme="minorHAnsi" w:eastAsiaTheme="minorEastAsia" w:cstheme="minorBidi"/>
          <w:b w:val="0"/>
          <w:kern w:val="2"/>
          <w:sz w:val="21"/>
          <w:szCs w:val="22"/>
        </w:rPr>
        <w:tab/>
      </w:r>
      <w:r>
        <w:rPr>
          <w:rStyle w:val="39"/>
          <w:rFonts w:hint="eastAsia"/>
          <w:color w:val="auto"/>
        </w:rPr>
        <w:t>建筑消能减震设计与审查要点</w:t>
      </w:r>
      <w:r>
        <w:tab/>
      </w:r>
      <w:r>
        <w:fldChar w:fldCharType="begin"/>
      </w:r>
      <w:r>
        <w:instrText xml:space="preserve"> PAGEREF _Toc517273843 \h </w:instrText>
      </w:r>
      <w:r>
        <w:fldChar w:fldCharType="separate"/>
      </w:r>
      <w:r>
        <w:t>5</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"_Toc517273844" </w:instrText>
      </w:r>
      <w:r>
        <w:fldChar w:fldCharType="separate"/>
      </w:r>
      <w:r>
        <w:rPr>
          <w:rStyle w:val="39"/>
          <w:color w:val="auto"/>
        </w:rPr>
        <w:t>4.1</w:t>
      </w:r>
      <w:r>
        <w:rPr>
          <w:rFonts w:asciiTheme="minorHAnsi" w:hAnsiTheme="minorHAnsi" w:eastAsiaTheme="minorEastAsia" w:cstheme="minorBidi"/>
          <w:kern w:val="2"/>
          <w:szCs w:val="22"/>
        </w:rPr>
        <w:tab/>
      </w:r>
      <w:r>
        <w:rPr>
          <w:rStyle w:val="39"/>
          <w:rFonts w:hint="eastAsia"/>
          <w:color w:val="auto"/>
        </w:rPr>
        <w:t>消能减震设计的一般要求</w:t>
      </w:r>
      <w:r>
        <w:tab/>
      </w:r>
      <w:r>
        <w:fldChar w:fldCharType="begin"/>
      </w:r>
      <w:r>
        <w:instrText xml:space="preserve"> PAGEREF _Toc517273844 \h </w:instrText>
      </w:r>
      <w:r>
        <w:fldChar w:fldCharType="separate"/>
      </w:r>
      <w:r>
        <w:t>5</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"_Toc517273845" </w:instrText>
      </w:r>
      <w:r>
        <w:fldChar w:fldCharType="separate"/>
      </w:r>
      <w:r>
        <w:rPr>
          <w:rStyle w:val="39"/>
          <w:color w:val="auto"/>
        </w:rPr>
        <w:t>4.2</w:t>
      </w:r>
      <w:r>
        <w:rPr>
          <w:rFonts w:asciiTheme="minorHAnsi" w:hAnsiTheme="minorHAnsi" w:eastAsiaTheme="minorEastAsia" w:cstheme="minorBidi"/>
          <w:kern w:val="2"/>
          <w:szCs w:val="22"/>
        </w:rPr>
        <w:tab/>
      </w:r>
      <w:r>
        <w:rPr>
          <w:rStyle w:val="39"/>
          <w:rFonts w:hint="eastAsia"/>
          <w:color w:val="auto"/>
        </w:rPr>
        <w:t>采用位移相关型消能器的设计要点</w:t>
      </w:r>
      <w:r>
        <w:tab/>
      </w:r>
      <w:r>
        <w:fldChar w:fldCharType="begin"/>
      </w:r>
      <w:r>
        <w:instrText xml:space="preserve"> PAGEREF _Toc517273845 \h </w:instrText>
      </w:r>
      <w:r>
        <w:fldChar w:fldCharType="separate"/>
      </w:r>
      <w:r>
        <w:t>7</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"_Toc517273846" </w:instrText>
      </w:r>
      <w:r>
        <w:fldChar w:fldCharType="separate"/>
      </w:r>
      <w:r>
        <w:rPr>
          <w:rStyle w:val="39"/>
          <w:color w:val="auto"/>
        </w:rPr>
        <w:t>4.3</w:t>
      </w:r>
      <w:r>
        <w:rPr>
          <w:rFonts w:asciiTheme="minorHAnsi" w:hAnsiTheme="minorHAnsi" w:eastAsiaTheme="minorEastAsia" w:cstheme="minorBidi"/>
          <w:kern w:val="2"/>
          <w:szCs w:val="22"/>
        </w:rPr>
        <w:tab/>
      </w:r>
      <w:r>
        <w:rPr>
          <w:rStyle w:val="39"/>
          <w:rFonts w:hint="eastAsia"/>
          <w:color w:val="auto"/>
        </w:rPr>
        <w:t>采用速度相关型消能器的设计要点</w:t>
      </w:r>
      <w:r>
        <w:tab/>
      </w:r>
      <w:r>
        <w:fldChar w:fldCharType="begin"/>
      </w:r>
      <w:r>
        <w:instrText xml:space="preserve"> PAGEREF _Toc517273846 \h </w:instrText>
      </w:r>
      <w:r>
        <w:fldChar w:fldCharType="separate"/>
      </w:r>
      <w:r>
        <w:t>8</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"_Toc517273847" </w:instrText>
      </w:r>
      <w:r>
        <w:fldChar w:fldCharType="separate"/>
      </w:r>
      <w:r>
        <w:rPr>
          <w:rStyle w:val="39"/>
          <w:color w:val="auto"/>
        </w:rPr>
        <w:t>4.4</w:t>
      </w:r>
      <w:r>
        <w:rPr>
          <w:rFonts w:asciiTheme="minorHAnsi" w:hAnsiTheme="minorHAnsi" w:eastAsiaTheme="minorEastAsia" w:cstheme="minorBidi"/>
          <w:kern w:val="2"/>
          <w:szCs w:val="22"/>
        </w:rPr>
        <w:tab/>
      </w:r>
      <w:r>
        <w:rPr>
          <w:rStyle w:val="39"/>
          <w:rFonts w:hint="eastAsia"/>
          <w:color w:val="auto"/>
        </w:rPr>
        <w:t>采用屈曲约束支撑的设计要点</w:t>
      </w:r>
      <w:r>
        <w:tab/>
      </w:r>
      <w:r>
        <w:fldChar w:fldCharType="begin"/>
      </w:r>
      <w:r>
        <w:instrText xml:space="preserve"> PAGEREF _Toc517273847 \h </w:instrText>
      </w:r>
      <w:r>
        <w:fldChar w:fldCharType="separate"/>
      </w:r>
      <w:r>
        <w:t>8</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"_Toc517273848" </w:instrText>
      </w:r>
      <w:r>
        <w:fldChar w:fldCharType="separate"/>
      </w:r>
      <w:r>
        <w:rPr>
          <w:rStyle w:val="39"/>
          <w:color w:val="auto"/>
        </w:rPr>
        <w:t>4.5</w:t>
      </w:r>
      <w:r>
        <w:rPr>
          <w:rFonts w:asciiTheme="minorHAnsi" w:hAnsiTheme="minorHAnsi" w:eastAsiaTheme="minorEastAsia" w:cstheme="minorBidi"/>
          <w:kern w:val="2"/>
          <w:szCs w:val="22"/>
        </w:rPr>
        <w:tab/>
      </w:r>
      <w:r>
        <w:rPr>
          <w:rStyle w:val="39"/>
          <w:rFonts w:hint="eastAsia"/>
          <w:color w:val="auto"/>
        </w:rPr>
        <w:t>消能子结构的设计要点</w:t>
      </w:r>
      <w:r>
        <w:tab/>
      </w:r>
      <w:r>
        <w:fldChar w:fldCharType="begin"/>
      </w:r>
      <w:r>
        <w:instrText xml:space="preserve"> PAGEREF _Toc517273848 \h </w:instrText>
      </w:r>
      <w:r>
        <w:fldChar w:fldCharType="separate"/>
      </w:r>
      <w:r>
        <w:t>8</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"_Toc517273849" </w:instrText>
      </w:r>
      <w:r>
        <w:fldChar w:fldCharType="separate"/>
      </w:r>
      <w:r>
        <w:rPr>
          <w:rStyle w:val="39"/>
          <w:color w:val="auto"/>
        </w:rPr>
        <w:t>4.6</w:t>
      </w:r>
      <w:r>
        <w:rPr>
          <w:rFonts w:asciiTheme="minorHAnsi" w:hAnsiTheme="minorHAnsi" w:eastAsiaTheme="minorEastAsia" w:cstheme="minorBidi"/>
          <w:kern w:val="2"/>
          <w:szCs w:val="22"/>
        </w:rPr>
        <w:tab/>
      </w:r>
      <w:r>
        <w:rPr>
          <w:rStyle w:val="39"/>
          <w:rFonts w:hint="eastAsia"/>
          <w:color w:val="auto"/>
        </w:rPr>
        <w:t>建筑消能减震设计审查要点</w:t>
      </w:r>
      <w:r>
        <w:tab/>
      </w:r>
      <w:r>
        <w:fldChar w:fldCharType="begin"/>
      </w:r>
      <w:r>
        <w:instrText xml:space="preserve"> PAGEREF _Toc517273849 \h </w:instrText>
      </w:r>
      <w:r>
        <w:fldChar w:fldCharType="separate"/>
      </w:r>
      <w:r>
        <w:t>9</w:t>
      </w:r>
      <w:r>
        <w:fldChar w:fldCharType="end"/>
      </w:r>
      <w:r>
        <w:fldChar w:fldCharType="end"/>
      </w:r>
    </w:p>
    <w:p>
      <w:pPr>
        <w:pStyle w:val="27"/>
        <w:tabs>
          <w:tab w:val="left" w:pos="840"/>
        </w:tabs>
        <w:rPr>
          <w:rFonts w:asciiTheme="minorHAnsi" w:hAnsiTheme="minorHAnsi" w:eastAsiaTheme="minorEastAsia" w:cstheme="minorBidi"/>
          <w:b w:val="0"/>
          <w:kern w:val="2"/>
          <w:sz w:val="21"/>
          <w:szCs w:val="22"/>
        </w:rPr>
      </w:pPr>
      <w:r>
        <w:fldChar w:fldCharType="begin"/>
      </w:r>
      <w:r>
        <w:instrText xml:space="preserve"> HYPERLINK \l "_Toc517273850" </w:instrText>
      </w:r>
      <w:r>
        <w:fldChar w:fldCharType="separate"/>
      </w:r>
      <w:r>
        <w:rPr>
          <w:rStyle w:val="39"/>
          <w:color w:val="auto"/>
        </w:rPr>
        <w:t>5</w:t>
      </w:r>
      <w:r>
        <w:rPr>
          <w:rFonts w:asciiTheme="minorHAnsi" w:hAnsiTheme="minorHAnsi" w:eastAsiaTheme="minorEastAsia" w:cstheme="minorBidi"/>
          <w:b w:val="0"/>
          <w:kern w:val="2"/>
          <w:sz w:val="21"/>
          <w:szCs w:val="22"/>
        </w:rPr>
        <w:tab/>
      </w:r>
      <w:r>
        <w:rPr>
          <w:rStyle w:val="39"/>
          <w:rFonts w:hint="eastAsia"/>
          <w:color w:val="auto"/>
        </w:rPr>
        <w:t>建筑消能减震设计流程</w:t>
      </w:r>
      <w:r>
        <w:tab/>
      </w:r>
      <w:r>
        <w:fldChar w:fldCharType="begin"/>
      </w:r>
      <w:r>
        <w:instrText xml:space="preserve"> PAGEREF _Toc517273850 \h </w:instrText>
      </w:r>
      <w:r>
        <w:fldChar w:fldCharType="separate"/>
      </w:r>
      <w:r>
        <w:t>1</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"_Toc517273851" </w:instrText>
      </w:r>
      <w:r>
        <w:fldChar w:fldCharType="separate"/>
      </w:r>
      <w:r>
        <w:rPr>
          <w:rStyle w:val="39"/>
          <w:color w:val="auto"/>
        </w:rPr>
        <w:t>5.1</w:t>
      </w:r>
      <w:r>
        <w:rPr>
          <w:rFonts w:asciiTheme="minorHAnsi" w:hAnsiTheme="minorHAnsi" w:eastAsiaTheme="minorEastAsia" w:cstheme="minorBidi"/>
          <w:kern w:val="2"/>
          <w:szCs w:val="22"/>
        </w:rPr>
        <w:tab/>
      </w:r>
      <w:r>
        <w:rPr>
          <w:rStyle w:val="39"/>
          <w:rFonts w:hint="eastAsia"/>
          <w:color w:val="auto"/>
        </w:rPr>
        <w:t>黏滞消能器减震结构设计流程</w:t>
      </w:r>
      <w:r>
        <w:tab/>
      </w:r>
      <w:r>
        <w:fldChar w:fldCharType="begin"/>
      </w:r>
      <w:r>
        <w:instrText xml:space="preserve"> PAGEREF _Toc517273851 \h </w:instrText>
      </w:r>
      <w:r>
        <w:fldChar w:fldCharType="separate"/>
      </w:r>
      <w:r>
        <w:t>1</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"_Toc517273852" </w:instrText>
      </w:r>
      <w:r>
        <w:fldChar w:fldCharType="separate"/>
      </w:r>
      <w:r>
        <w:rPr>
          <w:rStyle w:val="39"/>
          <w:color w:val="auto"/>
        </w:rPr>
        <w:t>5.2</w:t>
      </w:r>
      <w:r>
        <w:rPr>
          <w:rFonts w:asciiTheme="minorHAnsi" w:hAnsiTheme="minorHAnsi" w:eastAsiaTheme="minorEastAsia" w:cstheme="minorBidi"/>
          <w:kern w:val="2"/>
          <w:szCs w:val="22"/>
        </w:rPr>
        <w:tab/>
      </w:r>
      <w:r>
        <w:rPr>
          <w:rStyle w:val="39"/>
          <w:rFonts w:hint="eastAsia"/>
          <w:color w:val="auto"/>
        </w:rPr>
        <w:t>软钢消能器减震结构设计流程</w:t>
      </w:r>
      <w:r>
        <w:tab/>
      </w:r>
      <w:r>
        <w:fldChar w:fldCharType="begin"/>
      </w:r>
      <w:r>
        <w:instrText xml:space="preserve"> PAGEREF _Toc517273852 \h </w:instrText>
      </w:r>
      <w:r>
        <w:fldChar w:fldCharType="separate"/>
      </w:r>
      <w:r>
        <w:t>7</w:t>
      </w:r>
      <w:r>
        <w:fldChar w:fldCharType="end"/>
      </w:r>
      <w:r>
        <w:fldChar w:fldCharType="end"/>
      </w:r>
    </w:p>
    <w:p>
      <w:pPr>
        <w:pStyle w:val="32"/>
        <w:tabs>
          <w:tab w:val="left" w:pos="1680"/>
        </w:tabs>
        <w:ind w:firstLine="420"/>
        <w:rPr>
          <w:rFonts w:asciiTheme="minorHAnsi" w:hAnsiTheme="minorHAnsi" w:eastAsiaTheme="minorEastAsia" w:cstheme="minorBidi"/>
          <w:kern w:val="2"/>
          <w:szCs w:val="22"/>
        </w:rPr>
      </w:pPr>
      <w:r>
        <w:fldChar w:fldCharType="begin"/>
      </w:r>
      <w:r>
        <w:instrText xml:space="preserve"> HYPERLINK \l "_Toc517273853" </w:instrText>
      </w:r>
      <w:r>
        <w:fldChar w:fldCharType="separate"/>
      </w:r>
      <w:r>
        <w:rPr>
          <w:rStyle w:val="39"/>
          <w:color w:val="auto"/>
        </w:rPr>
        <w:t>5.3</w:t>
      </w:r>
      <w:r>
        <w:rPr>
          <w:rFonts w:asciiTheme="minorHAnsi" w:hAnsiTheme="minorHAnsi" w:eastAsiaTheme="minorEastAsia" w:cstheme="minorBidi"/>
          <w:kern w:val="2"/>
          <w:szCs w:val="22"/>
        </w:rPr>
        <w:tab/>
      </w:r>
      <w:r>
        <w:rPr>
          <w:rStyle w:val="39"/>
          <w:rFonts w:hint="eastAsia"/>
          <w:color w:val="auto"/>
        </w:rPr>
        <w:t>屈曲约束支撑减震结构设计流程</w:t>
      </w:r>
      <w:r>
        <w:tab/>
      </w:r>
      <w:r>
        <w:fldChar w:fldCharType="begin"/>
      </w:r>
      <w:r>
        <w:instrText xml:space="preserve"> PAGEREF _Toc517273853 \h </w:instrText>
      </w:r>
      <w:r>
        <w:fldChar w:fldCharType="separate"/>
      </w:r>
      <w:r>
        <w:t>11</w:t>
      </w:r>
      <w:r>
        <w:fldChar w:fldCharType="end"/>
      </w:r>
      <w:r>
        <w:fldChar w:fldCharType="end"/>
      </w:r>
    </w:p>
    <w:p>
      <w:pPr>
        <w:pStyle w:val="27"/>
        <w:tabs>
          <w:tab w:val="left" w:pos="840"/>
        </w:tabs>
        <w:rPr>
          <w:rFonts w:asciiTheme="minorHAnsi" w:hAnsiTheme="minorHAnsi" w:eastAsiaTheme="minorEastAsia" w:cstheme="minorBidi"/>
          <w:b w:val="0"/>
          <w:kern w:val="2"/>
          <w:sz w:val="21"/>
          <w:szCs w:val="22"/>
        </w:rPr>
      </w:pPr>
      <w:r>
        <w:fldChar w:fldCharType="begin"/>
      </w:r>
      <w:r>
        <w:instrText xml:space="preserve"> HYPERLINK \l "_Toc517273854" </w:instrText>
      </w:r>
      <w:r>
        <w:fldChar w:fldCharType="separate"/>
      </w:r>
      <w:r>
        <w:rPr>
          <w:rStyle w:val="39"/>
          <w:color w:val="auto"/>
        </w:rPr>
        <w:t>6</w:t>
      </w:r>
      <w:r>
        <w:rPr>
          <w:rFonts w:asciiTheme="minorHAnsi" w:hAnsiTheme="minorHAnsi" w:eastAsiaTheme="minorEastAsia" w:cstheme="minorBidi"/>
          <w:b w:val="0"/>
          <w:kern w:val="2"/>
          <w:sz w:val="21"/>
          <w:szCs w:val="22"/>
        </w:rPr>
        <w:tab/>
      </w:r>
      <w:r>
        <w:rPr>
          <w:rStyle w:val="39"/>
          <w:rFonts w:hint="eastAsia"/>
          <w:color w:val="auto"/>
        </w:rPr>
        <w:t>本导则用词说明</w:t>
      </w:r>
      <w:r>
        <w:tab/>
      </w:r>
      <w:r>
        <w:fldChar w:fldCharType="begin"/>
      </w:r>
      <w:r>
        <w:instrText xml:space="preserve"> PAGEREF _Toc517273854 \h </w:instrText>
      </w:r>
      <w:r>
        <w:fldChar w:fldCharType="separate"/>
      </w:r>
      <w:r>
        <w:t>16</w:t>
      </w:r>
      <w:r>
        <w:fldChar w:fldCharType="end"/>
      </w:r>
      <w:r>
        <w:fldChar w:fldCharType="end"/>
      </w:r>
    </w:p>
    <w:p>
      <w:pPr>
        <w:pStyle w:val="27"/>
        <w:tabs>
          <w:tab w:val="left" w:pos="840"/>
        </w:tabs>
        <w:ind w:firstLine="420"/>
        <w:rPr>
          <w:rFonts w:asciiTheme="minorHAnsi" w:hAnsiTheme="minorHAnsi" w:eastAsiaTheme="minorEastAsia" w:cstheme="minorBidi"/>
          <w:b w:val="0"/>
          <w:kern w:val="2"/>
          <w:sz w:val="21"/>
          <w:szCs w:val="22"/>
        </w:rPr>
      </w:pPr>
      <w:r>
        <w:fldChar w:fldCharType="begin"/>
      </w:r>
      <w:r>
        <w:instrText xml:space="preserve"> HYPERLINK \l "_Toc517273855" </w:instrText>
      </w:r>
      <w:r>
        <w:fldChar w:fldCharType="separate"/>
      </w:r>
      <w:r>
        <w:rPr>
          <w:rStyle w:val="39"/>
          <w:color w:val="auto"/>
        </w:rPr>
        <w:t>7</w:t>
      </w:r>
      <w:r>
        <w:rPr>
          <w:rFonts w:asciiTheme="minorHAnsi" w:hAnsiTheme="minorHAnsi" w:eastAsiaTheme="minorEastAsia" w:cstheme="minorBidi"/>
          <w:b w:val="0"/>
          <w:kern w:val="2"/>
          <w:sz w:val="21"/>
          <w:szCs w:val="22"/>
        </w:rPr>
        <w:tab/>
      </w:r>
      <w:r>
        <w:rPr>
          <w:rStyle w:val="39"/>
          <w:rFonts w:hint="eastAsia"/>
          <w:color w:val="auto"/>
        </w:rPr>
        <w:t>引用标准和规范名录</w:t>
      </w:r>
      <w:r>
        <w:tab/>
      </w:r>
      <w:r>
        <w:fldChar w:fldCharType="begin"/>
      </w:r>
      <w:r>
        <w:instrText xml:space="preserve"> PAGEREF _Toc517273855 \h </w:instrText>
      </w:r>
      <w:r>
        <w:fldChar w:fldCharType="separate"/>
      </w:r>
      <w:r>
        <w:t>17</w:t>
      </w:r>
      <w:r>
        <w:fldChar w:fldCharType="end"/>
      </w:r>
      <w:r>
        <w:fldChar w:fldCharType="end"/>
      </w:r>
    </w:p>
    <w:p>
      <w:pPr>
        <w:pStyle w:val="53"/>
        <w:spacing w:before="312" w:after="312"/>
        <w:ind w:firstLine="0" w:firstLineChars="0"/>
        <w:jc w:val="both"/>
        <w:outlineLvl w:val="9"/>
      </w:pPr>
      <w:r>
        <w:rPr>
          <w:b w:val="0"/>
          <w:bCs w:val="0"/>
          <w:sz w:val="24"/>
          <w:szCs w:val="24"/>
        </w:rPr>
        <w:fldChar w:fldCharType="end"/>
      </w:r>
    </w:p>
    <w:p>
      <w:pPr>
        <w:pStyle w:val="27"/>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upperRoman" w:start="1"/>
          <w:cols w:space="425" w:num="1"/>
          <w:docGrid w:type="lines" w:linePitch="312" w:charSpace="0"/>
        </w:sectPr>
      </w:pPr>
    </w:p>
    <w:bookmarkEnd w:id="0"/>
    <w:bookmarkEnd w:id="1"/>
    <w:bookmarkEnd w:id="2"/>
    <w:bookmarkEnd w:id="3"/>
    <w:bookmarkEnd w:id="4"/>
    <w:p>
      <w:pPr>
        <w:pStyle w:val="2"/>
      </w:pPr>
      <w:bookmarkStart w:id="5" w:name="_Toc517273840"/>
      <w:r>
        <w:rPr>
          <w:rFonts w:hint="eastAsia"/>
        </w:rPr>
        <w:t>总则</w:t>
      </w:r>
      <w:bookmarkEnd w:id="5"/>
    </w:p>
    <w:p>
      <w:pPr>
        <w:pStyle w:val="4"/>
        <w:rPr>
          <w:color w:val="auto"/>
        </w:rPr>
      </w:pPr>
      <w:r>
        <w:rPr>
          <w:rFonts w:hint="eastAsia"/>
          <w:color w:val="auto"/>
        </w:rPr>
        <w:t>【编制目的】</w:t>
      </w:r>
      <w:r>
        <w:rPr>
          <w:color w:val="auto"/>
        </w:rPr>
        <w:t>为了贯彻执行国家的技术经济政策，在消能减震工程中做到安全适用、技术先进、经济合理、确保质量，制定本导则。</w:t>
      </w:r>
    </w:p>
    <w:p>
      <w:pPr>
        <w:pStyle w:val="4"/>
        <w:rPr>
          <w:color w:val="auto"/>
        </w:rPr>
      </w:pPr>
      <w:r>
        <w:rPr>
          <w:color w:val="auto"/>
        </w:rPr>
        <w:t>【</w:t>
      </w:r>
      <w:r>
        <w:rPr>
          <w:rFonts w:hint="eastAsia"/>
          <w:color w:val="auto"/>
        </w:rPr>
        <w:t>适用范围</w:t>
      </w:r>
      <w:r>
        <w:rPr>
          <w:color w:val="auto"/>
        </w:rPr>
        <w:t>】本导则适用于抗震设防烈度为6~9度地区新建建筑结构和既有建筑结构抗震加固的消能减震设计</w:t>
      </w:r>
      <w:r>
        <w:rPr>
          <w:rFonts w:hint="eastAsia"/>
          <w:color w:val="auto"/>
        </w:rPr>
        <w:t>与</w:t>
      </w:r>
      <w:r>
        <w:rPr>
          <w:color w:val="auto"/>
        </w:rPr>
        <w:t>审查。抗震设防烈度大于9度地区及有特殊要求的新建建筑结构和既有建筑结构抗震加固的消能减震设计与审查，应按有关专门规定执行。</w:t>
      </w:r>
    </w:p>
    <w:p>
      <w:pPr>
        <w:pStyle w:val="4"/>
        <w:rPr>
          <w:color w:val="auto"/>
        </w:rPr>
      </w:pPr>
      <w:r>
        <w:rPr>
          <w:color w:val="auto"/>
        </w:rPr>
        <w:t>【设防目标】按本导则进行设计与审查的消能减震结构，其抗震设防目标是：当遭受低于本地区抗震设防烈度的多遇地震影响时，消能部件正常工作，主体结构不受损坏或不需要修理可继续使用；当遭受相当于本地区抗震设防烈度的设防地震影响时，消能部件正常工作，主体结构可能发生损坏，但经一般修理仍可继续使用；当遭受高于本地区抗震设防烈度的罕遇地震影响时，消能部件不应丧失功能，主体结构不致倒塌或发生危及生命的严重破坏。</w:t>
      </w:r>
    </w:p>
    <w:p>
      <w:pPr>
        <w:pStyle w:val="4"/>
        <w:rPr>
          <w:color w:val="auto"/>
        </w:rPr>
      </w:pPr>
      <w:r>
        <w:rPr>
          <w:color w:val="auto"/>
        </w:rPr>
        <w:t>【其他要求】消能减震</w:t>
      </w:r>
      <w:r>
        <w:rPr>
          <w:rFonts w:hint="eastAsia"/>
          <w:color w:val="auto"/>
        </w:rPr>
        <w:t>结构</w:t>
      </w:r>
      <w:r>
        <w:rPr>
          <w:color w:val="auto"/>
        </w:rPr>
        <w:t>的设计与审查除执行本导则外，尚应符合国家现行相关标准的规定。当本导则的技术要求高于国家现行相关标准时，应按本导则执行。</w:t>
      </w:r>
    </w:p>
    <w:p>
      <w:pPr>
        <w:ind w:firstLine="420"/>
      </w:pPr>
    </w:p>
    <w:p>
      <w:pPr>
        <w:pStyle w:val="2"/>
      </w:pPr>
      <w:bookmarkStart w:id="6" w:name="_Toc326522254"/>
      <w:bookmarkStart w:id="7" w:name="_Toc229226085"/>
      <w:bookmarkStart w:id="8" w:name="_Toc517273841"/>
      <w:bookmarkStart w:id="9" w:name="_Toc326522615"/>
      <w:r>
        <w:rPr>
          <w:rFonts w:hint="eastAsia"/>
        </w:rPr>
        <w:t>术语</w:t>
      </w:r>
      <w:bookmarkEnd w:id="6"/>
      <w:bookmarkEnd w:id="7"/>
      <w:bookmarkEnd w:id="8"/>
      <w:bookmarkEnd w:id="9"/>
      <w:r>
        <w:rPr>
          <w:rFonts w:hint="eastAsia"/>
        </w:rPr>
        <w:t xml:space="preserve"> </w:t>
      </w:r>
    </w:p>
    <w:p>
      <w:pPr>
        <w:pStyle w:val="4"/>
        <w:rPr>
          <w:color w:val="auto"/>
        </w:rPr>
      </w:pPr>
      <w:r>
        <w:rPr>
          <w:color w:val="auto"/>
        </w:rPr>
        <w:t>消能器 energy dissipation device</w:t>
      </w:r>
    </w:p>
    <w:p>
      <w:pPr>
        <w:ind w:firstLine="480"/>
        <w:rPr>
          <w:sz w:val="24"/>
          <w:szCs w:val="24"/>
        </w:rPr>
      </w:pPr>
      <w:r>
        <w:rPr>
          <w:rFonts w:hint="eastAsia"/>
          <w:sz w:val="24"/>
          <w:szCs w:val="24"/>
        </w:rPr>
        <w:t>消能器是通过内部材料或构件的摩擦、弹塑性滞回变形或黏（弹）性滞回变形来耗散或吸收能量的装置。包括位移相关型消能器、速度相关型消能器和复合型消能器。</w:t>
      </w:r>
    </w:p>
    <w:p>
      <w:pPr>
        <w:pStyle w:val="4"/>
        <w:rPr>
          <w:color w:val="auto"/>
        </w:rPr>
      </w:pPr>
      <w:r>
        <w:rPr>
          <w:rFonts w:hint="eastAsia"/>
          <w:color w:val="auto"/>
        </w:rPr>
        <w:t>消能减震结构</w:t>
      </w:r>
      <w:r>
        <w:rPr>
          <w:color w:val="auto"/>
        </w:rPr>
        <w:t xml:space="preserve"> energy dissipation structure</w:t>
      </w:r>
    </w:p>
    <w:p>
      <w:pPr>
        <w:ind w:firstLine="480"/>
        <w:rPr>
          <w:sz w:val="24"/>
          <w:szCs w:val="24"/>
        </w:rPr>
      </w:pPr>
      <w:r>
        <w:rPr>
          <w:rFonts w:hint="eastAsia"/>
          <w:sz w:val="24"/>
          <w:szCs w:val="24"/>
        </w:rPr>
        <w:t>设置消能器的结构。消能减震结构包括主体结构、消能部件。</w:t>
      </w:r>
    </w:p>
    <w:p>
      <w:pPr>
        <w:pStyle w:val="4"/>
        <w:rPr>
          <w:color w:val="auto"/>
        </w:rPr>
      </w:pPr>
      <w:r>
        <w:rPr>
          <w:rFonts w:hint="eastAsia" w:ascii="宋体" w:cs="宋体"/>
          <w:color w:val="auto"/>
        </w:rPr>
        <w:t>消能部件</w:t>
      </w:r>
      <w:r>
        <w:rPr>
          <w:color w:val="auto"/>
        </w:rPr>
        <w:t xml:space="preserve"> energy dissipation part</w:t>
      </w:r>
    </w:p>
    <w:p>
      <w:pPr>
        <w:ind w:firstLine="480"/>
        <w:rPr>
          <w:bCs/>
          <w:sz w:val="24"/>
          <w:szCs w:val="24"/>
        </w:rPr>
      </w:pPr>
      <w:r>
        <w:rPr>
          <w:rFonts w:hint="eastAsia"/>
          <w:bCs/>
          <w:sz w:val="24"/>
          <w:szCs w:val="24"/>
        </w:rPr>
        <w:t>由消能器和支撑或连接消能器构件组成的部分。</w:t>
      </w:r>
    </w:p>
    <w:p>
      <w:pPr>
        <w:pStyle w:val="4"/>
        <w:rPr>
          <w:color w:val="auto"/>
        </w:rPr>
      </w:pPr>
      <w:r>
        <w:rPr>
          <w:rFonts w:hint="eastAsia" w:ascii="宋体" w:cs="宋体"/>
          <w:color w:val="auto"/>
        </w:rPr>
        <w:t>消能子结构</w:t>
      </w:r>
      <w:r>
        <w:rPr>
          <w:color w:val="auto"/>
        </w:rPr>
        <w:t xml:space="preserve"> energy dissipation sub-structure</w:t>
      </w:r>
    </w:p>
    <w:p>
      <w:pPr>
        <w:ind w:firstLine="480"/>
        <w:rPr>
          <w:sz w:val="24"/>
          <w:szCs w:val="24"/>
        </w:rPr>
      </w:pPr>
      <w:r>
        <w:rPr>
          <w:rFonts w:hint="eastAsia"/>
          <w:sz w:val="24"/>
          <w:szCs w:val="24"/>
        </w:rPr>
        <w:t>与消能部件直接相连的构件组成的子结构，包括梁、柱、抗震墙及节点。</w:t>
      </w:r>
    </w:p>
    <w:p>
      <w:pPr>
        <w:pStyle w:val="4"/>
        <w:rPr>
          <w:color w:val="auto"/>
        </w:rPr>
      </w:pPr>
      <w:r>
        <w:rPr>
          <w:rFonts w:hint="eastAsia" w:ascii="宋体" w:cs="宋体"/>
          <w:color w:val="auto"/>
        </w:rPr>
        <w:t>位移相关型消能器</w:t>
      </w:r>
      <w:r>
        <w:rPr>
          <w:color w:val="auto"/>
        </w:rPr>
        <w:t>displacement dependent energy dissipation device</w:t>
      </w:r>
    </w:p>
    <w:p>
      <w:pPr>
        <w:ind w:firstLine="480"/>
        <w:rPr>
          <w:sz w:val="24"/>
          <w:szCs w:val="24"/>
        </w:rPr>
      </w:pPr>
      <w:r>
        <w:rPr>
          <w:rFonts w:hint="eastAsia"/>
          <w:bCs/>
          <w:sz w:val="24"/>
          <w:szCs w:val="24"/>
        </w:rPr>
        <w:t>耗能能力与消能器两端的相对位移相关的消能器，如金属消能器、摩擦消能器和屈曲约束支撑等。</w:t>
      </w:r>
    </w:p>
    <w:p>
      <w:pPr>
        <w:pStyle w:val="4"/>
        <w:rPr>
          <w:color w:val="auto"/>
        </w:rPr>
      </w:pPr>
      <w:r>
        <w:rPr>
          <w:rFonts w:hint="eastAsia" w:ascii="宋体" w:cs="宋体"/>
          <w:color w:val="auto"/>
        </w:rPr>
        <w:t>速度相关型消能器</w:t>
      </w:r>
      <w:r>
        <w:rPr>
          <w:color w:val="auto"/>
        </w:rPr>
        <w:t>velocity dependent energy dissipation device</w:t>
      </w:r>
    </w:p>
    <w:p>
      <w:pPr>
        <w:ind w:firstLine="480"/>
        <w:rPr>
          <w:bCs/>
          <w:sz w:val="24"/>
          <w:szCs w:val="24"/>
        </w:rPr>
      </w:pPr>
      <w:r>
        <w:rPr>
          <w:rFonts w:hint="eastAsia"/>
          <w:bCs/>
          <w:sz w:val="24"/>
          <w:szCs w:val="24"/>
        </w:rPr>
        <w:t>耗能能力与消能器两端的相对速度有关的消能器，如黏滞消能器、黏弹性消能器等。</w:t>
      </w:r>
    </w:p>
    <w:p>
      <w:pPr>
        <w:pStyle w:val="4"/>
        <w:rPr>
          <w:color w:val="auto"/>
        </w:rPr>
      </w:pPr>
      <w:r>
        <w:rPr>
          <w:rFonts w:hint="eastAsia" w:ascii="宋体" w:cs="宋体"/>
          <w:color w:val="auto"/>
        </w:rPr>
        <w:t>复合型消能器</w:t>
      </w:r>
      <w:r>
        <w:rPr>
          <w:color w:val="auto"/>
        </w:rPr>
        <w:t>composite energy dissipation device</w:t>
      </w:r>
    </w:p>
    <w:p>
      <w:pPr>
        <w:ind w:firstLine="480"/>
        <w:rPr>
          <w:bCs/>
          <w:sz w:val="24"/>
          <w:szCs w:val="24"/>
        </w:rPr>
      </w:pPr>
      <w:r>
        <w:rPr>
          <w:rFonts w:hint="eastAsia"/>
          <w:bCs/>
          <w:sz w:val="24"/>
          <w:szCs w:val="24"/>
        </w:rPr>
        <w:t>耗能能力与消能器两端的相对位移和相对速度有关的消能器，如铅黏弹性消能器等。</w:t>
      </w:r>
    </w:p>
    <w:p>
      <w:pPr>
        <w:pStyle w:val="4"/>
        <w:rPr>
          <w:color w:val="auto"/>
        </w:rPr>
      </w:pPr>
      <w:r>
        <w:rPr>
          <w:rFonts w:hint="eastAsia" w:ascii="宋体" w:cs="宋体"/>
          <w:color w:val="auto"/>
        </w:rPr>
        <w:t>金属消能器</w:t>
      </w:r>
      <w:r>
        <w:rPr>
          <w:color w:val="auto"/>
        </w:rPr>
        <w:t>metal energy dissipation device</w:t>
      </w:r>
    </w:p>
    <w:p>
      <w:pPr>
        <w:ind w:firstLine="480"/>
        <w:rPr>
          <w:bCs/>
          <w:sz w:val="24"/>
          <w:szCs w:val="24"/>
        </w:rPr>
      </w:pPr>
      <w:r>
        <w:rPr>
          <w:rFonts w:hint="eastAsia"/>
          <w:bCs/>
          <w:sz w:val="24"/>
          <w:szCs w:val="24"/>
        </w:rPr>
        <w:t>由各种不同金属材料（软钢、铅等）元件或构件制成，利用金属元件或构件屈服时产生的弹塑性滞回变形耗散能量的减震装置。</w:t>
      </w:r>
    </w:p>
    <w:p>
      <w:pPr>
        <w:pStyle w:val="4"/>
        <w:rPr>
          <w:color w:val="auto"/>
        </w:rPr>
      </w:pPr>
      <w:r>
        <w:rPr>
          <w:rFonts w:hint="eastAsia" w:ascii="宋体" w:cs="宋体"/>
          <w:color w:val="auto"/>
        </w:rPr>
        <w:t>摩擦消能器</w:t>
      </w:r>
      <w:r>
        <w:rPr>
          <w:color w:val="auto"/>
        </w:rPr>
        <w:t>friction energy dissipation device</w:t>
      </w:r>
    </w:p>
    <w:p>
      <w:pPr>
        <w:ind w:firstLine="480"/>
        <w:rPr>
          <w:bCs/>
          <w:sz w:val="24"/>
          <w:szCs w:val="24"/>
        </w:rPr>
      </w:pPr>
      <w:r>
        <w:rPr>
          <w:rFonts w:hint="eastAsia"/>
          <w:bCs/>
          <w:sz w:val="24"/>
          <w:szCs w:val="24"/>
        </w:rPr>
        <w:t>由钢元件或构件、摩擦片和预压螺栓等组成，利用两个或两个以上元件或构件间相对位移时产生摩擦做功而耗散能量的减震装置。</w:t>
      </w:r>
    </w:p>
    <w:p>
      <w:pPr>
        <w:pStyle w:val="4"/>
        <w:rPr>
          <w:color w:val="auto"/>
        </w:rPr>
      </w:pPr>
      <w:r>
        <w:rPr>
          <w:rFonts w:hint="eastAsia" w:ascii="宋体" w:cs="宋体"/>
          <w:color w:val="auto"/>
        </w:rPr>
        <w:t>屈曲约束支撑</w:t>
      </w:r>
      <w:r>
        <w:rPr>
          <w:color w:val="auto"/>
        </w:rPr>
        <w:t>buckling-restrained brace</w:t>
      </w:r>
    </w:p>
    <w:p>
      <w:pPr>
        <w:ind w:firstLine="480"/>
        <w:rPr>
          <w:bCs/>
          <w:sz w:val="24"/>
          <w:szCs w:val="24"/>
        </w:rPr>
      </w:pPr>
      <w:r>
        <w:rPr>
          <w:rFonts w:hint="eastAsia"/>
          <w:bCs/>
          <w:sz w:val="24"/>
          <w:szCs w:val="24"/>
        </w:rPr>
        <w:t>由核心单元、外约束单元等组成，利用核心单元产生弹塑性滞回变形耗散能量的减震装置。</w:t>
      </w:r>
    </w:p>
    <w:p>
      <w:pPr>
        <w:pStyle w:val="4"/>
        <w:rPr>
          <w:color w:val="auto"/>
        </w:rPr>
      </w:pPr>
      <w:r>
        <w:rPr>
          <w:rFonts w:hint="eastAsia" w:ascii="宋体" w:cs="宋体"/>
          <w:color w:val="auto"/>
        </w:rPr>
        <w:t>黏滞消能器</w:t>
      </w:r>
      <w:r>
        <w:rPr>
          <w:color w:val="auto"/>
        </w:rPr>
        <w:t>viscous energy dissipation device</w:t>
      </w:r>
    </w:p>
    <w:p>
      <w:pPr>
        <w:ind w:firstLine="480"/>
        <w:rPr>
          <w:bCs/>
          <w:sz w:val="24"/>
          <w:szCs w:val="24"/>
        </w:rPr>
      </w:pPr>
      <w:r>
        <w:rPr>
          <w:rFonts w:hint="eastAsia"/>
          <w:bCs/>
          <w:sz w:val="24"/>
          <w:szCs w:val="24"/>
        </w:rPr>
        <w:t>由缸体、活塞、黏滞材料等部分组成，利用黏滞材料运动时产生黏滞阻尼耗散能量的减震装置。</w:t>
      </w:r>
    </w:p>
    <w:p>
      <w:pPr>
        <w:pStyle w:val="4"/>
        <w:rPr>
          <w:color w:val="auto"/>
        </w:rPr>
      </w:pPr>
      <w:r>
        <w:rPr>
          <w:rFonts w:hint="eastAsia" w:ascii="宋体" w:cs="宋体"/>
          <w:color w:val="auto"/>
        </w:rPr>
        <w:t>黏弹性消能器</w:t>
      </w:r>
      <w:r>
        <w:rPr>
          <w:color w:val="auto"/>
        </w:rPr>
        <w:t xml:space="preserve"> viscoelastic energy dissipation device</w:t>
      </w:r>
    </w:p>
    <w:p>
      <w:pPr>
        <w:ind w:firstLine="480"/>
        <w:rPr>
          <w:bCs/>
          <w:sz w:val="24"/>
          <w:szCs w:val="24"/>
        </w:rPr>
      </w:pPr>
      <w:r>
        <w:rPr>
          <w:rFonts w:hint="eastAsia"/>
          <w:bCs/>
          <w:sz w:val="24"/>
          <w:szCs w:val="24"/>
        </w:rPr>
        <w:t>由黏弹性材料和约束钢板或圆（方形或矩形）钢筒等组成，利用黏弹性材料间产生的剪切或拉压滞回变形来耗散能量的减震装置。</w:t>
      </w:r>
    </w:p>
    <w:p>
      <w:pPr>
        <w:pStyle w:val="4"/>
        <w:rPr>
          <w:color w:val="auto"/>
        </w:rPr>
      </w:pPr>
      <w:r>
        <w:rPr>
          <w:rFonts w:hint="eastAsia" w:ascii="宋体" w:cs="宋体"/>
          <w:color w:val="auto"/>
        </w:rPr>
        <w:t>附加阻尼比</w:t>
      </w:r>
      <w:r>
        <w:rPr>
          <w:color w:val="auto"/>
        </w:rPr>
        <w:t xml:space="preserve"> additional damping ratio</w:t>
      </w:r>
    </w:p>
    <w:p>
      <w:pPr>
        <w:ind w:firstLine="480"/>
        <w:rPr>
          <w:bCs/>
          <w:sz w:val="24"/>
          <w:szCs w:val="24"/>
        </w:rPr>
      </w:pPr>
      <w:r>
        <w:rPr>
          <w:rFonts w:hint="eastAsia"/>
          <w:bCs/>
          <w:sz w:val="24"/>
          <w:szCs w:val="24"/>
        </w:rPr>
        <w:t>消能减震结构往复运动时消能器附加给主体结构的有效阻尼比。</w:t>
      </w:r>
    </w:p>
    <w:p>
      <w:pPr>
        <w:pStyle w:val="4"/>
        <w:rPr>
          <w:color w:val="auto"/>
        </w:rPr>
      </w:pPr>
      <w:r>
        <w:rPr>
          <w:rFonts w:hint="eastAsia" w:ascii="宋体" w:cs="宋体"/>
          <w:color w:val="auto"/>
        </w:rPr>
        <w:t>附加刚度</w:t>
      </w:r>
      <w:r>
        <w:rPr>
          <w:color w:val="auto"/>
        </w:rPr>
        <w:t xml:space="preserve"> additional stiffness</w:t>
      </w:r>
    </w:p>
    <w:p>
      <w:pPr>
        <w:ind w:firstLine="480"/>
        <w:rPr>
          <w:bCs/>
          <w:sz w:val="24"/>
          <w:szCs w:val="24"/>
        </w:rPr>
      </w:pPr>
      <w:r>
        <w:rPr>
          <w:rFonts w:hint="eastAsia"/>
          <w:bCs/>
          <w:sz w:val="24"/>
          <w:szCs w:val="24"/>
        </w:rPr>
        <w:t>消能减震结构往复运动时消能部件附加给主体结构的刚度。</w:t>
      </w:r>
    </w:p>
    <w:p>
      <w:pPr>
        <w:pStyle w:val="4"/>
        <w:rPr>
          <w:color w:val="auto"/>
        </w:rPr>
      </w:pPr>
      <w:r>
        <w:rPr>
          <w:rFonts w:hint="eastAsia" w:ascii="宋体" w:cs="宋体"/>
          <w:color w:val="auto"/>
        </w:rPr>
        <w:t>消能器设计位移</w:t>
      </w:r>
      <w:r>
        <w:rPr>
          <w:color w:val="auto"/>
        </w:rPr>
        <w:t xml:space="preserve"> design displacement of energy dissipation device</w:t>
      </w:r>
    </w:p>
    <w:p>
      <w:pPr>
        <w:ind w:firstLine="480"/>
        <w:rPr>
          <w:bCs/>
          <w:sz w:val="24"/>
          <w:szCs w:val="24"/>
        </w:rPr>
      </w:pPr>
      <w:r>
        <w:rPr>
          <w:rFonts w:hint="eastAsia"/>
          <w:bCs/>
          <w:sz w:val="24"/>
          <w:szCs w:val="24"/>
        </w:rPr>
        <w:t>消能减震结构在罕遇地震作用下消能器达到的位移值。</w:t>
      </w:r>
    </w:p>
    <w:p>
      <w:pPr>
        <w:pStyle w:val="4"/>
        <w:rPr>
          <w:color w:val="auto"/>
        </w:rPr>
      </w:pPr>
      <w:r>
        <w:rPr>
          <w:rFonts w:hint="eastAsia" w:ascii="宋体" w:cs="宋体"/>
          <w:color w:val="auto"/>
        </w:rPr>
        <w:t>消能器设计速度</w:t>
      </w:r>
      <w:r>
        <w:rPr>
          <w:color w:val="auto"/>
        </w:rPr>
        <w:t xml:space="preserve"> design velocity of energy dissipation device</w:t>
      </w:r>
    </w:p>
    <w:p>
      <w:pPr>
        <w:ind w:firstLine="480"/>
        <w:rPr>
          <w:bCs/>
          <w:sz w:val="24"/>
          <w:szCs w:val="24"/>
        </w:rPr>
      </w:pPr>
      <w:r>
        <w:rPr>
          <w:rFonts w:hint="eastAsia"/>
          <w:bCs/>
          <w:sz w:val="24"/>
          <w:szCs w:val="24"/>
        </w:rPr>
        <w:t>消能减震结构在罕遇地震作用下消能器达到的速度值。</w:t>
      </w:r>
    </w:p>
    <w:p>
      <w:pPr>
        <w:pStyle w:val="4"/>
        <w:rPr>
          <w:color w:val="auto"/>
        </w:rPr>
      </w:pPr>
      <w:r>
        <w:rPr>
          <w:rFonts w:hint="eastAsia" w:ascii="宋体" w:cs="宋体"/>
          <w:color w:val="auto"/>
        </w:rPr>
        <w:t>消能器极限位移</w:t>
      </w:r>
      <w:r>
        <w:rPr>
          <w:color w:val="auto"/>
        </w:rPr>
        <w:t xml:space="preserve"> ultimate displacement of energy dissipation device</w:t>
      </w:r>
    </w:p>
    <w:p>
      <w:pPr>
        <w:ind w:firstLine="480"/>
        <w:rPr>
          <w:bCs/>
          <w:sz w:val="24"/>
          <w:szCs w:val="24"/>
        </w:rPr>
      </w:pPr>
      <w:r>
        <w:rPr>
          <w:rFonts w:hint="eastAsia"/>
          <w:bCs/>
          <w:sz w:val="24"/>
          <w:szCs w:val="24"/>
        </w:rPr>
        <w:t>消能器能达到的最大变形量，消能器的变形超过该值后认为消能器失去消能功能。其值应大于消能器设计位移的120%。</w:t>
      </w:r>
    </w:p>
    <w:p>
      <w:pPr>
        <w:pStyle w:val="4"/>
        <w:rPr>
          <w:color w:val="auto"/>
        </w:rPr>
      </w:pPr>
      <w:r>
        <w:rPr>
          <w:rFonts w:hint="eastAsia" w:ascii="宋体" w:cs="宋体"/>
          <w:color w:val="auto"/>
        </w:rPr>
        <w:t>消能器极限速度</w:t>
      </w:r>
      <w:r>
        <w:rPr>
          <w:color w:val="auto"/>
        </w:rPr>
        <w:t xml:space="preserve"> ultimate velocity of energy dissipation device</w:t>
      </w:r>
    </w:p>
    <w:p>
      <w:pPr>
        <w:ind w:firstLine="480"/>
        <w:rPr>
          <w:bCs/>
          <w:sz w:val="24"/>
          <w:szCs w:val="24"/>
        </w:rPr>
      </w:pPr>
      <w:r>
        <w:rPr>
          <w:rFonts w:hint="eastAsia"/>
          <w:bCs/>
          <w:sz w:val="24"/>
          <w:szCs w:val="24"/>
        </w:rPr>
        <w:t>消能器能达到的最大速度值，消能器的速度超过该值后认为消能器失去消能功能。其值应大于消能器设计速度的120%。</w:t>
      </w:r>
    </w:p>
    <w:p>
      <w:pPr>
        <w:pStyle w:val="4"/>
        <w:rPr>
          <w:color w:val="auto"/>
        </w:rPr>
      </w:pPr>
      <w:r>
        <w:rPr>
          <w:rFonts w:hint="eastAsia" w:ascii="宋体" w:cs="宋体"/>
          <w:color w:val="auto"/>
        </w:rPr>
        <w:t>近似计算模型</w:t>
      </w:r>
      <w:r>
        <w:rPr>
          <w:color w:val="auto"/>
        </w:rPr>
        <w:t xml:space="preserve"> approximate calculation model</w:t>
      </w:r>
    </w:p>
    <w:p>
      <w:pPr>
        <w:ind w:firstLine="480"/>
        <w:rPr>
          <w:bCs/>
          <w:sz w:val="24"/>
          <w:szCs w:val="24"/>
        </w:rPr>
      </w:pPr>
      <w:r>
        <w:rPr>
          <w:rFonts w:hint="eastAsia"/>
          <w:bCs/>
          <w:sz w:val="24"/>
          <w:szCs w:val="24"/>
        </w:rPr>
        <w:t>采用等效阻尼比、等效刚度进行线性计算的模型。</w:t>
      </w:r>
    </w:p>
    <w:p>
      <w:pPr>
        <w:ind w:firstLine="420"/>
        <w:rPr>
          <w:bCs/>
        </w:rPr>
      </w:pPr>
    </w:p>
    <w:p>
      <w:pPr>
        <w:pStyle w:val="2"/>
      </w:pPr>
      <w:bookmarkStart w:id="10" w:name="_Toc517273842"/>
      <w:r>
        <w:rPr>
          <w:rFonts w:hint="eastAsia"/>
        </w:rPr>
        <w:t>建筑消能器材的分类与选用</w:t>
      </w:r>
      <w:bookmarkEnd w:id="10"/>
    </w:p>
    <w:p>
      <w:pPr>
        <w:pStyle w:val="4"/>
        <w:rPr>
          <w:color w:val="auto"/>
        </w:rPr>
      </w:pPr>
      <w:r>
        <w:rPr>
          <w:color w:val="auto"/>
        </w:rPr>
        <w:t>【</w:t>
      </w:r>
      <w:r>
        <w:rPr>
          <w:rFonts w:hint="eastAsia"/>
          <w:color w:val="auto"/>
        </w:rPr>
        <w:t>分类</w:t>
      </w:r>
      <w:r>
        <w:rPr>
          <w:color w:val="auto"/>
        </w:rPr>
        <w:t>】建筑消能器可分为速度相关型、位移相关型和复合型三类。</w:t>
      </w:r>
    </w:p>
    <w:p>
      <w:pPr>
        <w:ind w:firstLine="420"/>
        <w:rPr>
          <w:bCs/>
        </w:rPr>
      </w:pPr>
      <w:r>
        <w:rPr>
          <w:bCs/>
        </w:rPr>
        <w:t>速度相关型消能器包括黏滞消能器和黏弹性消能器，利用与速度有关的黏性抵抗地震作用，从黏滞材料的运动中获得阻尼力，消能能力取决于消能器两端相对速度的大小，速度越大，提供的阻尼力越大，消能能力也越强。</w:t>
      </w:r>
    </w:p>
    <w:p>
      <w:pPr>
        <w:ind w:firstLine="420"/>
        <w:rPr>
          <w:bCs/>
        </w:rPr>
      </w:pPr>
      <w:r>
        <w:rPr>
          <w:bCs/>
        </w:rPr>
        <w:t>位移相关型消能器包括金属消能器和摩擦消能器，消能能力与消能器两端相对位移的大小有关，相对位移越大，消能能力越强。其中</w:t>
      </w:r>
      <w:r>
        <w:rPr>
          <w:rFonts w:hint="eastAsia"/>
          <w:bCs/>
        </w:rPr>
        <w:t>，金属消能器利用金属材料屈服时产生的弹塑性滞回变形耗散能量，从受力形式上可分为剪切型、弯曲型等，剪切型刚度相对较大，而弯曲型则可提供相对较大的阻尼；摩擦消能器一般由钢元件或构件、摩擦片和预压螺栓等组成，在地震作用下，钢元件或构件之间发生相对位移产生摩擦做功而耗散能量。</w:t>
      </w:r>
    </w:p>
    <w:p>
      <w:pPr>
        <w:ind w:firstLine="420"/>
        <w:rPr>
          <w:bCs/>
        </w:rPr>
      </w:pPr>
      <w:r>
        <w:rPr>
          <w:bCs/>
        </w:rPr>
        <w:t>复合型消能器是利用二种以上的消能原理或机制进行耗能的消能器，同时具有位移相关型消能器和速度相关型消能器的性能特征，但有时可能位移相关型消能器的特征比较明显，有时可能速度相关型消能器的特征比较明显，因此，对其性能的要求</w:t>
      </w:r>
      <w:r>
        <w:rPr>
          <w:rFonts w:hint="eastAsia"/>
          <w:bCs/>
        </w:rPr>
        <w:t>应</w:t>
      </w:r>
      <w:r>
        <w:rPr>
          <w:bCs/>
        </w:rPr>
        <w:t>根据其组合消能机理或机制具体确定。</w:t>
      </w:r>
    </w:p>
    <w:p>
      <w:pPr>
        <w:ind w:firstLine="420"/>
        <w:rPr>
          <w:bCs/>
        </w:rPr>
      </w:pPr>
      <w:r>
        <w:rPr>
          <w:rFonts w:hint="eastAsia"/>
          <w:bCs/>
        </w:rPr>
        <w:t>屈曲约束支撑从工作原理上也可认为是位移</w:t>
      </w:r>
      <w:r>
        <w:rPr>
          <w:bCs/>
        </w:rPr>
        <w:t>相关型</w:t>
      </w:r>
      <w:r>
        <w:rPr>
          <w:rFonts w:hint="eastAsia"/>
          <w:bCs/>
        </w:rPr>
        <w:t>消能器。一般情况下，利用其可为结构提供较大侧向刚度的特点，将其设计为在多遇地震作用下不屈服、仅提供侧向刚度的结构构件；在设防地震和罕遇地震作用下，核心单元能产生拉压屈服，利用屈服后滞回变形来耗散地震能量，并且不会发生失稳破坏。</w:t>
      </w:r>
    </w:p>
    <w:p>
      <w:pPr>
        <w:pStyle w:val="4"/>
        <w:rPr>
          <w:color w:val="auto"/>
        </w:rPr>
      </w:pPr>
      <w:r>
        <w:rPr>
          <w:color w:val="auto"/>
        </w:rPr>
        <w:t>【</w:t>
      </w:r>
      <w:r>
        <w:rPr>
          <w:rFonts w:hint="eastAsia"/>
          <w:color w:val="auto"/>
        </w:rPr>
        <w:t>选用原则</w:t>
      </w:r>
      <w:r>
        <w:rPr>
          <w:color w:val="auto"/>
        </w:rPr>
        <w:t>】建筑消能器可根据</w:t>
      </w:r>
      <w:r>
        <w:rPr>
          <w:rFonts w:hint="eastAsia"/>
          <w:color w:val="auto"/>
        </w:rPr>
        <w:t>消能器的力学性能、结构</w:t>
      </w:r>
      <w:r>
        <w:rPr>
          <w:color w:val="auto"/>
        </w:rPr>
        <w:t>的力学</w:t>
      </w:r>
      <w:r>
        <w:rPr>
          <w:rFonts w:hint="eastAsia"/>
          <w:color w:val="auto"/>
        </w:rPr>
        <w:t>特点、建筑物使用环境、技术经济指标等因素进行选用。</w:t>
      </w:r>
    </w:p>
    <w:p>
      <w:pPr>
        <w:ind w:firstLine="480"/>
        <w:rPr>
          <w:sz w:val="24"/>
          <w:szCs w:val="24"/>
        </w:rPr>
      </w:pPr>
      <w:r>
        <w:rPr>
          <w:rFonts w:hint="eastAsia"/>
          <w:sz w:val="24"/>
          <w:szCs w:val="24"/>
        </w:rPr>
        <w:t>金属消能器、摩擦消能器和</w:t>
      </w:r>
      <w:r>
        <w:rPr>
          <w:sz w:val="24"/>
          <w:szCs w:val="24"/>
        </w:rPr>
        <w:t>黏弹性</w:t>
      </w:r>
      <w:r>
        <w:rPr>
          <w:rFonts w:hint="eastAsia"/>
          <w:sz w:val="24"/>
          <w:szCs w:val="24"/>
        </w:rPr>
        <w:t>消能器能为主体结构提供附加刚度和附加阻尼，</w:t>
      </w:r>
      <w:r>
        <w:rPr>
          <w:sz w:val="24"/>
          <w:szCs w:val="24"/>
        </w:rPr>
        <w:t>黏滞消能器</w:t>
      </w:r>
      <w:r>
        <w:rPr>
          <w:rFonts w:hint="eastAsia"/>
          <w:sz w:val="24"/>
          <w:szCs w:val="24"/>
        </w:rPr>
        <w:t>只能为主体结构提供附加阻尼。因此，当结构只需要提供附加阻尼时，可考虑采用</w:t>
      </w:r>
      <w:r>
        <w:rPr>
          <w:sz w:val="24"/>
          <w:szCs w:val="24"/>
        </w:rPr>
        <w:t>黏滞消能器</w:t>
      </w:r>
      <w:r>
        <w:rPr>
          <w:rFonts w:hint="eastAsia"/>
          <w:sz w:val="24"/>
          <w:szCs w:val="24"/>
        </w:rPr>
        <w:t>；结构需要提供附加刚度和附加阻尼时，可考虑采用金属消能器、摩擦消能器和</w:t>
      </w:r>
      <w:r>
        <w:rPr>
          <w:sz w:val="24"/>
          <w:szCs w:val="24"/>
        </w:rPr>
        <w:t>黏弹性</w:t>
      </w:r>
      <w:r>
        <w:rPr>
          <w:rFonts w:hint="eastAsia"/>
          <w:sz w:val="24"/>
          <w:szCs w:val="24"/>
        </w:rPr>
        <w:t>消能器。</w:t>
      </w:r>
    </w:p>
    <w:p>
      <w:pPr>
        <w:ind w:firstLine="480"/>
        <w:rPr>
          <w:sz w:val="24"/>
          <w:szCs w:val="24"/>
        </w:rPr>
      </w:pPr>
      <w:r>
        <w:rPr>
          <w:rFonts w:hint="eastAsia"/>
          <w:sz w:val="24"/>
          <w:szCs w:val="24"/>
        </w:rPr>
        <w:t>一般情况下，当结构自身刚度较大、在多遇地震作用下位移较小时，可考虑采用速度型消能器；结构对附加刚度的需求较大时，可采用金属消能器、摩擦消能器、屈曲约束支撑等。</w:t>
      </w:r>
    </w:p>
    <w:p>
      <w:pPr>
        <w:ind w:firstLine="480"/>
        <w:rPr>
          <w:sz w:val="24"/>
          <w:szCs w:val="24"/>
        </w:rPr>
      </w:pPr>
      <w:r>
        <w:rPr>
          <w:rFonts w:hint="eastAsia"/>
          <w:sz w:val="24"/>
          <w:szCs w:val="24"/>
        </w:rPr>
        <w:t>设计文件中应明确提出消能器的使用环境要求及与之相适应的检验要求和构造设计，产品检测和竣工验收时应核查是否满足设计提出的使用环境要求。</w:t>
      </w:r>
    </w:p>
    <w:p>
      <w:pPr>
        <w:ind w:firstLine="480"/>
        <w:rPr>
          <w:sz w:val="24"/>
          <w:szCs w:val="24"/>
        </w:rPr>
      </w:pPr>
      <w:r>
        <w:rPr>
          <w:rFonts w:hint="eastAsia"/>
          <w:sz w:val="24"/>
          <w:szCs w:val="24"/>
        </w:rPr>
        <w:t>在工程实践中，可根据具体情况，同时采用两种或两种以上消能器，也可与隔震技术同时使用，以取得更好的效果。</w:t>
      </w:r>
    </w:p>
    <w:p>
      <w:pPr>
        <w:pStyle w:val="2"/>
      </w:pPr>
      <w:bookmarkStart w:id="11" w:name="_Toc424998263"/>
      <w:bookmarkStart w:id="12" w:name="_Toc517273843"/>
      <w:r>
        <w:rPr>
          <w:rFonts w:hint="eastAsia"/>
        </w:rPr>
        <w:t>建筑消能减震</w:t>
      </w:r>
      <w:bookmarkEnd w:id="11"/>
      <w:r>
        <w:rPr>
          <w:rFonts w:hint="eastAsia"/>
        </w:rPr>
        <w:t>设计与审查要点</w:t>
      </w:r>
      <w:bookmarkEnd w:id="12"/>
    </w:p>
    <w:p>
      <w:pPr>
        <w:pStyle w:val="3"/>
      </w:pPr>
      <w:bookmarkStart w:id="13" w:name="_Toc517273844"/>
      <w:r>
        <w:rPr>
          <w:rFonts w:hint="eastAsia"/>
        </w:rPr>
        <w:t>消能减震设计的一般要求</w:t>
      </w:r>
      <w:bookmarkEnd w:id="13"/>
    </w:p>
    <w:p>
      <w:pPr>
        <w:ind w:firstLine="420"/>
      </w:pPr>
    </w:p>
    <w:p>
      <w:pPr>
        <w:pStyle w:val="4"/>
        <w:rPr>
          <w:color w:val="auto"/>
        </w:rPr>
      </w:pPr>
      <w:r>
        <w:rPr>
          <w:color w:val="auto"/>
        </w:rPr>
        <w:t>【</w:t>
      </w:r>
      <w:r>
        <w:rPr>
          <w:rFonts w:hint="eastAsia"/>
          <w:color w:val="auto"/>
        </w:rPr>
        <w:t>减震目标</w:t>
      </w:r>
      <w:r>
        <w:rPr>
          <w:color w:val="auto"/>
        </w:rPr>
        <w:t>】</w:t>
      </w:r>
      <w:r>
        <w:rPr>
          <w:rFonts w:hint="eastAsia"/>
          <w:color w:val="auto"/>
        </w:rPr>
        <w:t>消能减震结构的设计应确定减震目标。应通过设置消能减震装置有效消耗地震能量，使建筑抗震性能明显提高，罕遇地震作用下减震结构与非减震结构的水平位移之比应小于0.75。一般情况下，与《建筑抗震设计规范》GB50011的位移角限值相比，结构最大层间位移角减小的比例在多遇地震作用下不低于10%，钢筋混凝土框架结构和钢结构在罕遇地震作用下不低于50%，其他结构在在罕遇地震作用下不低于40%。结构在多遇地震作用下的弹性层间位移角应采用振型分解反应谱法计算的结果。此外，在不考虑附加阻尼比的情况下，结构仍应能满足现行抗震设计标准的多遇地震作用下弹性层间位移角限值和罕遇地震作用下的弹塑性层间位移角限值。</w:t>
      </w:r>
    </w:p>
    <w:p>
      <w:pPr>
        <w:pStyle w:val="4"/>
        <w:rPr>
          <w:color w:val="auto"/>
        </w:rPr>
      </w:pPr>
      <w:r>
        <w:rPr>
          <w:color w:val="auto"/>
        </w:rPr>
        <w:t>【</w:t>
      </w:r>
      <w:r>
        <w:rPr>
          <w:rFonts w:hint="eastAsia"/>
          <w:color w:val="auto"/>
        </w:rPr>
        <w:t>布置原则和最低数量要求</w:t>
      </w:r>
      <w:r>
        <w:rPr>
          <w:color w:val="auto"/>
        </w:rPr>
        <w:t>】</w:t>
      </w:r>
      <w:r>
        <w:rPr>
          <w:rFonts w:hint="eastAsia"/>
          <w:color w:val="auto"/>
        </w:rPr>
        <w:t>消能减震结构中设置的消能器在楼层平面内的布置应遵循</w:t>
      </w:r>
      <w:r>
        <w:rPr>
          <w:color w:val="auto"/>
        </w:rPr>
        <w:t xml:space="preserve"> “</w:t>
      </w:r>
      <w:r>
        <w:rPr>
          <w:rFonts w:hint="eastAsia"/>
          <w:color w:val="auto"/>
        </w:rPr>
        <w:t>均匀、分散、对称、周边</w:t>
      </w:r>
      <w:r>
        <w:rPr>
          <w:color w:val="auto"/>
        </w:rPr>
        <w:t>”</w:t>
      </w:r>
      <w:r>
        <w:rPr>
          <w:rFonts w:hint="eastAsia"/>
          <w:color w:val="auto"/>
        </w:rPr>
        <w:t>的原则，且应具有足够的数量</w:t>
      </w:r>
      <w:r>
        <w:rPr>
          <w:rFonts w:hint="eastAsia"/>
          <w:color w:val="auto"/>
          <w:sz w:val="28"/>
          <w:szCs w:val="28"/>
        </w:rPr>
        <w:t>。</w:t>
      </w:r>
      <w:r>
        <w:rPr>
          <w:rFonts w:hint="eastAsia"/>
          <w:color w:val="auto"/>
        </w:rPr>
        <w:t>一般情况下，布置消能器楼层的数量，多层建筑不少于总层数的二分之一，高层建筑不少于三分之一，且在布置消能器的楼层中，消能器实际最大出力之和不低于楼层总剪力</w:t>
      </w:r>
      <w:r>
        <w:rPr>
          <w:color w:val="auto"/>
        </w:rPr>
        <w:t>1</w:t>
      </w:r>
      <w:r>
        <w:rPr>
          <w:rFonts w:hint="eastAsia"/>
          <w:color w:val="auto"/>
        </w:rPr>
        <w:t>5</w:t>
      </w:r>
      <w:r>
        <w:rPr>
          <w:color w:val="auto"/>
        </w:rPr>
        <w:t>%</w:t>
      </w:r>
      <w:r>
        <w:rPr>
          <w:rFonts w:hint="eastAsia"/>
          <w:color w:val="auto"/>
        </w:rPr>
        <w:t>的楼层不少于一半。消能器的最大间距宜按剪力墙最大间距的相关要求确定。</w:t>
      </w:r>
    </w:p>
    <w:p>
      <w:pPr>
        <w:ind w:firstLine="420"/>
      </w:pPr>
      <w:r>
        <w:rPr>
          <w:rFonts w:hint="eastAsia"/>
        </w:rPr>
        <w:t>为实现4.1.1条的减震目标，</w:t>
      </w:r>
      <w:r>
        <w:rPr>
          <w:rFonts w:hint="eastAsia"/>
          <w:bCs/>
        </w:rPr>
        <w:t>通过对已有项目的统计分析，给出以上经验性数据。</w:t>
      </w:r>
    </w:p>
    <w:p>
      <w:pPr>
        <w:pStyle w:val="4"/>
        <w:rPr>
          <w:color w:val="auto"/>
        </w:rPr>
      </w:pPr>
      <w:r>
        <w:rPr>
          <w:color w:val="auto"/>
        </w:rPr>
        <w:t>【</w:t>
      </w:r>
      <w:r>
        <w:rPr>
          <w:rFonts w:hint="eastAsia"/>
          <w:color w:val="auto"/>
        </w:rPr>
        <w:t>温度作用和风荷载</w:t>
      </w:r>
      <w:r>
        <w:rPr>
          <w:color w:val="auto"/>
        </w:rPr>
        <w:t>】</w:t>
      </w:r>
      <w:r>
        <w:rPr>
          <w:rFonts w:hint="eastAsia"/>
          <w:color w:val="auto"/>
        </w:rPr>
        <w:t>在温度或</w:t>
      </w:r>
      <w:r>
        <w:rPr>
          <w:color w:val="auto"/>
        </w:rPr>
        <w:t>10</w:t>
      </w:r>
      <w:r>
        <w:rPr>
          <w:rFonts w:hint="eastAsia"/>
          <w:color w:val="auto"/>
        </w:rPr>
        <w:t>年一遇标准风荷载作用下，摩擦消能器不应进入滑动状态，金属消能器和屈曲约束支撑不应产生屈服。</w:t>
      </w:r>
      <w:r>
        <w:rPr>
          <w:color w:val="auto"/>
        </w:rPr>
        <w:t xml:space="preserve"> </w:t>
      </w:r>
    </w:p>
    <w:p>
      <w:pPr>
        <w:ind w:firstLine="420"/>
        <w:rPr>
          <w:bCs/>
        </w:rPr>
      </w:pPr>
      <w:r>
        <w:rPr>
          <w:rFonts w:hint="eastAsia"/>
          <w:bCs/>
        </w:rPr>
        <w:t>对于位移相关型消能器和屈曲约束支撑，随着循环圈数的不断增加，可能会出现低周疲劳失效的问题，因此，位移相关型消能器和屈曲约束支撑应保证在弹性范围内具有足够的承载力，以避免过早出现非预期的破坏。</w:t>
      </w:r>
    </w:p>
    <w:p>
      <w:pPr>
        <w:pStyle w:val="4"/>
        <w:rPr>
          <w:color w:val="auto"/>
        </w:rPr>
      </w:pPr>
      <w:r>
        <w:rPr>
          <w:color w:val="auto"/>
        </w:rPr>
        <w:t>【</w:t>
      </w:r>
      <w:r>
        <w:rPr>
          <w:rFonts w:hint="eastAsia"/>
          <w:color w:val="auto"/>
        </w:rPr>
        <w:t>小震不屈要求</w:t>
      </w:r>
      <w:r>
        <w:rPr>
          <w:color w:val="auto"/>
        </w:rPr>
        <w:t>】</w:t>
      </w:r>
      <w:r>
        <w:rPr>
          <w:rFonts w:hint="eastAsia"/>
          <w:color w:val="auto"/>
        </w:rPr>
        <w:t>当消能器在多遇地震作用下不屈服时，其屈服承载力应高于其按基本组合所得的内力。</w:t>
      </w:r>
    </w:p>
    <w:p>
      <w:pPr>
        <w:pStyle w:val="4"/>
        <w:rPr>
          <w:color w:val="auto"/>
        </w:rPr>
      </w:pPr>
      <w:r>
        <w:rPr>
          <w:color w:val="auto"/>
        </w:rPr>
        <w:t>【</w:t>
      </w:r>
      <w:r>
        <w:rPr>
          <w:rFonts w:hint="eastAsia"/>
          <w:color w:val="auto"/>
        </w:rPr>
        <w:t>斜向构件</w:t>
      </w:r>
      <w:r>
        <w:rPr>
          <w:color w:val="auto"/>
        </w:rPr>
        <w:t>】</w:t>
      </w:r>
      <w:r>
        <w:rPr>
          <w:rFonts w:hint="eastAsia"/>
          <w:color w:val="auto"/>
        </w:rPr>
        <w:t>有斜交抗侧力构件的结构，当相交角度大于</w:t>
      </w:r>
      <w:r>
        <w:rPr>
          <w:color w:val="auto"/>
        </w:rPr>
        <w:t>15</w:t>
      </w:r>
      <w:r>
        <w:rPr>
          <w:rFonts w:hint="eastAsia"/>
          <w:color w:val="auto"/>
        </w:rPr>
        <w:t>°时，应分别计算各抗侧力构件方向的水平地震作用。在计算等效阻尼比时，结构总应变能和消能器耗能应按地震输入方向与垂直方向的总和计算。</w:t>
      </w:r>
    </w:p>
    <w:p>
      <w:pPr>
        <w:pStyle w:val="4"/>
        <w:rPr>
          <w:color w:val="auto"/>
        </w:rPr>
      </w:pPr>
      <w:r>
        <w:rPr>
          <w:color w:val="auto"/>
        </w:rPr>
        <w:t>【</w:t>
      </w:r>
      <w:r>
        <w:rPr>
          <w:rFonts w:hint="eastAsia"/>
          <w:color w:val="auto"/>
        </w:rPr>
        <w:t>模型一致性</w:t>
      </w:r>
      <w:r>
        <w:rPr>
          <w:color w:val="auto"/>
        </w:rPr>
        <w:t>】</w:t>
      </w:r>
      <w:r>
        <w:rPr>
          <w:rFonts w:hint="eastAsia"/>
          <w:color w:val="auto"/>
        </w:rPr>
        <w:t>当采用不同的计算软件对消能减震结构进行设计时，各计算模型应保持一致。在弹性模型条件下，各软件计算所得的质量、周期相对误差不大于</w:t>
      </w:r>
      <w:r>
        <w:rPr>
          <w:color w:val="auto"/>
        </w:rPr>
        <w:t>5%</w:t>
      </w:r>
      <w:r>
        <w:rPr>
          <w:rFonts w:hint="eastAsia"/>
          <w:color w:val="auto"/>
        </w:rPr>
        <w:t>；振型分解反应谱法所得的层间剪力，除顶部个别楼层外，相对误差不大于</w:t>
      </w:r>
      <w:r>
        <w:rPr>
          <w:color w:val="auto"/>
        </w:rPr>
        <w:t>10%</w:t>
      </w:r>
      <w:r>
        <w:rPr>
          <w:rFonts w:hint="eastAsia"/>
          <w:color w:val="auto"/>
        </w:rPr>
        <w:t>。</w:t>
      </w:r>
    </w:p>
    <w:p>
      <w:pPr>
        <w:pStyle w:val="4"/>
        <w:rPr>
          <w:color w:val="auto"/>
        </w:rPr>
      </w:pPr>
      <w:bookmarkStart w:id="14" w:name="_Ref507059823"/>
      <w:r>
        <w:rPr>
          <w:color w:val="auto"/>
        </w:rPr>
        <w:t>【</w:t>
      </w:r>
      <w:r>
        <w:rPr>
          <w:rFonts w:hint="eastAsia"/>
          <w:color w:val="auto"/>
        </w:rPr>
        <w:t>地震记录选取要求</w:t>
      </w:r>
      <w:r>
        <w:rPr>
          <w:color w:val="auto"/>
        </w:rPr>
        <w:t>】</w:t>
      </w:r>
      <w:r>
        <w:rPr>
          <w:rFonts w:hint="eastAsia"/>
          <w:color w:val="auto"/>
        </w:rPr>
        <w:t>采用时程分析法分析时，应按建筑场地类别和设计地震分组选取7组或以上的实际强震记录和人工模拟的加速度时程曲线，其中实际强震记录数量不应少于总数的</w:t>
      </w:r>
      <w:r>
        <w:rPr>
          <w:color w:val="auto"/>
        </w:rPr>
        <w:t>2/3</w:t>
      </w:r>
      <w:r>
        <w:rPr>
          <w:rFonts w:hint="eastAsia"/>
          <w:color w:val="auto"/>
        </w:rPr>
        <w:t>，不宜均采用同一地震事件，多组时程曲线的平均地震影响系数曲线应与振型分解反应谱法采用的地震影响系数曲线在统计意义上相符。宜优先选用在云南省或西南地区取得的实际强震记录。弹性时程分析时，每条时程曲线计算所得主体结构底部剪力不应小于振型分解反应谱法计算结果的80</w:t>
      </w:r>
      <w:r>
        <w:rPr>
          <w:color w:val="auto"/>
        </w:rPr>
        <w:t>%</w:t>
      </w:r>
      <w:r>
        <w:rPr>
          <w:rFonts w:hint="eastAsia"/>
          <w:color w:val="auto"/>
        </w:rPr>
        <w:t>，多条时程曲线计算主体结构底部剪力的平均值不应小于振型分解反应谱法计算结果的95</w:t>
      </w:r>
      <w:r>
        <w:rPr>
          <w:color w:val="auto"/>
        </w:rPr>
        <w:t>%</w:t>
      </w:r>
      <w:r>
        <w:rPr>
          <w:rFonts w:hint="eastAsia"/>
          <w:color w:val="auto"/>
        </w:rPr>
        <w:t>；弹塑性时程分析时，各条时程曲线计算所得主体结构的底部剪力、上部结构最大层间位移角等主要指标的最大值与最小值之比不宜大于3。同一场地上动力特性接近的结构单元，宜采用同一组时程曲线。</w:t>
      </w:r>
      <w:bookmarkEnd w:id="14"/>
    </w:p>
    <w:p>
      <w:pPr>
        <w:pStyle w:val="4"/>
        <w:rPr>
          <w:color w:val="auto"/>
        </w:rPr>
      </w:pPr>
      <w:r>
        <w:rPr>
          <w:color w:val="auto"/>
        </w:rPr>
        <w:t>【</w:t>
      </w:r>
      <w:r>
        <w:rPr>
          <w:rFonts w:hint="eastAsia"/>
          <w:color w:val="auto"/>
        </w:rPr>
        <w:t>附加阻尼比和附加刚度计算要求</w:t>
      </w:r>
      <w:r>
        <w:rPr>
          <w:color w:val="auto"/>
        </w:rPr>
        <w:t>】</w:t>
      </w:r>
      <w:r>
        <w:rPr>
          <w:rFonts w:hint="eastAsia"/>
          <w:color w:val="auto"/>
        </w:rPr>
        <w:t>附加阻尼比和附加刚度可采用合理的方法进行初步估算，但用于抗震专项审查和施工图设计的数值，应采用能够实际模拟消能器非线性性能的计算模型，利用非线性时程分析进行校核。</w:t>
      </w:r>
    </w:p>
    <w:p>
      <w:pPr>
        <w:pStyle w:val="4"/>
        <w:rPr>
          <w:color w:val="auto"/>
        </w:rPr>
      </w:pPr>
      <w:r>
        <w:rPr>
          <w:color w:val="auto"/>
        </w:rPr>
        <w:t>【</w:t>
      </w:r>
      <w:r>
        <w:rPr>
          <w:rFonts w:hint="eastAsia"/>
          <w:color w:val="auto"/>
        </w:rPr>
        <w:t>附加阻尼比安全储备</w:t>
      </w:r>
      <w:r>
        <w:rPr>
          <w:color w:val="auto"/>
        </w:rPr>
        <w:t>】</w:t>
      </w:r>
      <w:r>
        <w:rPr>
          <w:rFonts w:hint="eastAsia"/>
          <w:color w:val="auto"/>
        </w:rPr>
        <w:t>设计中应考虑消能器性能偏差、连接安装缺陷等的不利影响，在附加阻尼比取用时应留有安全储备。在进行主结构设计时，实际采用的附加阻尼比不宜高于计算值的80%。</w:t>
      </w:r>
    </w:p>
    <w:p>
      <w:pPr>
        <w:ind w:firstLine="420"/>
        <w:rPr>
          <w:bCs/>
        </w:rPr>
      </w:pPr>
      <w:r>
        <w:rPr>
          <w:rFonts w:hint="eastAsia"/>
          <w:bCs/>
        </w:rPr>
        <w:t>《建筑消能减震技术规程》JGJ297等标准允许消能器在检测时有10~15%的性能偏差，同时施工中不可避免地存在位置、间隙等缺陷，故提出此要求。</w:t>
      </w:r>
    </w:p>
    <w:p>
      <w:pPr>
        <w:pStyle w:val="4"/>
        <w:rPr>
          <w:color w:val="auto"/>
        </w:rPr>
      </w:pPr>
      <w:r>
        <w:rPr>
          <w:color w:val="auto"/>
        </w:rPr>
        <w:t>【</w:t>
      </w:r>
      <w:r>
        <w:rPr>
          <w:rFonts w:hint="eastAsia"/>
          <w:color w:val="auto"/>
        </w:rPr>
        <w:t>消能子结构延性要求</w:t>
      </w:r>
      <w:r>
        <w:rPr>
          <w:color w:val="auto"/>
        </w:rPr>
        <w:t>】</w:t>
      </w:r>
      <w:r>
        <w:rPr>
          <w:rFonts w:hint="eastAsia"/>
          <w:color w:val="auto"/>
        </w:rPr>
        <w:t>消能子结构的设计应着重加强节点、构件的延性，可采用沿构件全长提高配箍率、增设型钢等方法。</w:t>
      </w:r>
    </w:p>
    <w:p>
      <w:pPr>
        <w:pStyle w:val="4"/>
        <w:rPr>
          <w:color w:val="auto"/>
        </w:rPr>
      </w:pPr>
      <w:r>
        <w:rPr>
          <w:color w:val="auto"/>
        </w:rPr>
        <w:t>【</w:t>
      </w:r>
      <w:r>
        <w:rPr>
          <w:rFonts w:hint="eastAsia"/>
          <w:color w:val="auto"/>
        </w:rPr>
        <w:t>消能子结构强度要求</w:t>
      </w:r>
      <w:r>
        <w:rPr>
          <w:color w:val="auto"/>
        </w:rPr>
        <w:t>】</w:t>
      </w:r>
      <w:r>
        <w:rPr>
          <w:rFonts w:hint="eastAsia"/>
          <w:color w:val="auto"/>
        </w:rPr>
        <w:t>消能子结构的强度应满足下列要求：</w:t>
      </w:r>
    </w:p>
    <w:p>
      <w:pPr>
        <w:ind w:firstLine="480"/>
        <w:rPr>
          <w:sz w:val="24"/>
          <w:szCs w:val="24"/>
        </w:rPr>
      </w:pPr>
      <w:r>
        <w:rPr>
          <w:sz w:val="24"/>
          <w:szCs w:val="24"/>
        </w:rPr>
        <w:t>1. 消能子结构中梁、柱、墙构件宜按重要构件设计，并应考虑罕遇地震作用效应和其它荷载作用标准值的效应，其值应小于构件极限承载力；</w:t>
      </w:r>
      <w:r>
        <w:rPr>
          <w:rFonts w:hint="eastAsia"/>
          <w:sz w:val="24"/>
          <w:szCs w:val="24"/>
        </w:rPr>
        <w:t>在罕遇地震作用下材料强度可采用《建筑抗震设计规范》GB50011附录M-1.2.4的规定的极限值，按表4.5.2确定。</w:t>
      </w:r>
    </w:p>
    <w:p>
      <w:pPr>
        <w:ind w:firstLine="420"/>
      </w:pPr>
      <w:r>
        <w:rPr>
          <w:rFonts w:hint="eastAsia"/>
          <w:bCs/>
        </w:rPr>
        <w:t>《建筑消能减震技术规程》JGJ297的规定。</w:t>
      </w:r>
    </w:p>
    <w:p>
      <w:pPr>
        <w:ind w:firstLine="480"/>
        <w:rPr>
          <w:sz w:val="24"/>
          <w:szCs w:val="24"/>
        </w:rPr>
      </w:pPr>
      <w:r>
        <w:rPr>
          <w:rFonts w:hint="eastAsia"/>
          <w:sz w:val="24"/>
          <w:szCs w:val="24"/>
        </w:rPr>
        <w:t>2</w:t>
      </w:r>
      <w:r>
        <w:rPr>
          <w:sz w:val="24"/>
          <w:szCs w:val="24"/>
        </w:rPr>
        <w:t xml:space="preserve">. </w:t>
      </w:r>
      <w:r>
        <w:rPr>
          <w:rFonts w:hint="eastAsia"/>
          <w:sz w:val="24"/>
          <w:szCs w:val="24"/>
        </w:rPr>
        <w:t>消能子结构的框架柱在两个方向都应满足上述强度要求。</w:t>
      </w:r>
    </w:p>
    <w:p>
      <w:pPr>
        <w:ind w:firstLine="480"/>
        <w:rPr>
          <w:sz w:val="24"/>
          <w:szCs w:val="24"/>
        </w:rPr>
      </w:pPr>
      <w:r>
        <w:rPr>
          <w:rFonts w:hint="eastAsia"/>
          <w:sz w:val="24"/>
          <w:szCs w:val="24"/>
        </w:rPr>
        <w:t>3</w:t>
      </w:r>
      <w:r>
        <w:rPr>
          <w:sz w:val="24"/>
          <w:szCs w:val="24"/>
        </w:rPr>
        <w:t>.</w:t>
      </w:r>
      <w:r>
        <w:rPr>
          <w:rFonts w:hint="eastAsia"/>
          <w:sz w:val="24"/>
          <w:szCs w:val="24"/>
        </w:rPr>
        <w:t xml:space="preserve"> 消能子结构下方至少一层的对应竖向构件也应满足上述强度要求。</w:t>
      </w:r>
    </w:p>
    <w:p>
      <w:pPr>
        <w:pStyle w:val="4"/>
        <w:rPr>
          <w:color w:val="auto"/>
        </w:rPr>
      </w:pPr>
      <w:r>
        <w:rPr>
          <w:color w:val="auto"/>
        </w:rPr>
        <w:t>【</w:t>
      </w:r>
      <w:r>
        <w:rPr>
          <w:rFonts w:hint="eastAsia"/>
          <w:color w:val="auto"/>
        </w:rPr>
        <w:t>采用时程分析进行配筋校核</w:t>
      </w:r>
      <w:r>
        <w:rPr>
          <w:color w:val="auto"/>
        </w:rPr>
        <w:t>】</w:t>
      </w:r>
      <w:r>
        <w:rPr>
          <w:rFonts w:hint="eastAsia"/>
          <w:color w:val="auto"/>
        </w:rPr>
        <w:t>当采用多遇地震作用下</w:t>
      </w:r>
      <w:r>
        <w:rPr>
          <w:rFonts w:hint="eastAsia"/>
          <w:color w:val="auto"/>
          <w:szCs w:val="20"/>
        </w:rPr>
        <w:t>处于非线性工作状态</w:t>
      </w:r>
      <w:r>
        <w:rPr>
          <w:rFonts w:hint="eastAsia"/>
          <w:color w:val="auto"/>
        </w:rPr>
        <w:t>的消能器时，消能减震结构可利用近似计算模型进行初步的构件配筋设计，但应采用能够实际模拟消能器非线性性能的计算模型，利用非线性时程分析进行各构件的配筋校核。</w:t>
      </w:r>
    </w:p>
    <w:p>
      <w:pPr>
        <w:pStyle w:val="4"/>
        <w:rPr>
          <w:color w:val="auto"/>
        </w:rPr>
      </w:pPr>
      <w:r>
        <w:rPr>
          <w:color w:val="auto"/>
        </w:rPr>
        <w:t>【</w:t>
      </w:r>
      <w:r>
        <w:rPr>
          <w:rFonts w:hint="eastAsia"/>
          <w:color w:val="auto"/>
        </w:rPr>
        <w:t>弹塑性计算应采用实配钢筋</w:t>
      </w:r>
      <w:r>
        <w:rPr>
          <w:color w:val="auto"/>
        </w:rPr>
        <w:t>】</w:t>
      </w:r>
      <w:r>
        <w:rPr>
          <w:rFonts w:hint="eastAsia"/>
          <w:color w:val="auto"/>
        </w:rPr>
        <w:t>在进行设防地震或罕遇地震作用下的结构分析时，应采用实际截面尺寸和配筋。</w:t>
      </w:r>
    </w:p>
    <w:p>
      <w:pPr>
        <w:ind w:firstLine="420"/>
      </w:pPr>
    </w:p>
    <w:p>
      <w:pPr>
        <w:pStyle w:val="3"/>
      </w:pPr>
      <w:bookmarkStart w:id="15" w:name="_Toc517273845"/>
      <w:r>
        <w:rPr>
          <w:rFonts w:hint="eastAsia"/>
        </w:rPr>
        <w:t>采用位移相关型消能器的设计要点</w:t>
      </w:r>
      <w:bookmarkEnd w:id="15"/>
    </w:p>
    <w:p>
      <w:pPr>
        <w:pStyle w:val="4"/>
        <w:rPr>
          <w:color w:val="auto"/>
        </w:rPr>
      </w:pPr>
      <w:r>
        <w:rPr>
          <w:rFonts w:hint="eastAsia"/>
          <w:color w:val="auto"/>
        </w:rPr>
        <w:t>位移相关型消能部件附加给结构的有效刚度可采用等价线性化方法初步确定。</w:t>
      </w:r>
    </w:p>
    <w:p>
      <w:pPr>
        <w:pStyle w:val="4"/>
        <w:rPr>
          <w:color w:val="auto"/>
        </w:rPr>
      </w:pPr>
      <w:r>
        <w:rPr>
          <w:rFonts w:hint="eastAsia"/>
          <w:color w:val="auto"/>
        </w:rPr>
        <w:t>位移相关型消能部件附加给结构的有效阻尼比可按《建筑消能减震技术规程》</w:t>
      </w:r>
      <w:r>
        <w:rPr>
          <w:color w:val="auto"/>
        </w:rPr>
        <w:t>JGJ 297-2013</w:t>
      </w:r>
      <w:r>
        <w:rPr>
          <w:rFonts w:hint="eastAsia"/>
          <w:color w:val="auto"/>
        </w:rPr>
        <w:t>中式（</w:t>
      </w:r>
      <w:r>
        <w:rPr>
          <w:color w:val="auto"/>
        </w:rPr>
        <w:t>6.3.2-1</w:t>
      </w:r>
      <w:r>
        <w:rPr>
          <w:rFonts w:hint="eastAsia"/>
          <w:color w:val="auto"/>
        </w:rPr>
        <w:t>）计算。在计算结构总应变能时，宜采用楼层水平地震作用标准值与对应楼层平均总位移（楼层质心位移）的乘积的一半，但应同时给出层间位移供校核；楼层中未屈服的消能器的剪力应计入楼层水平地震作用标准值。可采用累计能量比较法等其他可靠的方法进行校核。</w:t>
      </w:r>
    </w:p>
    <w:p>
      <w:pPr>
        <w:pStyle w:val="4"/>
        <w:rPr>
          <w:color w:val="auto"/>
        </w:rPr>
      </w:pPr>
      <w:r>
        <w:rPr>
          <w:color w:val="auto"/>
        </w:rPr>
        <w:t>【</w:t>
      </w:r>
      <w:r>
        <w:rPr>
          <w:rFonts w:hint="eastAsia"/>
          <w:color w:val="auto"/>
        </w:rPr>
        <w:t>位移相关型消能器的性能要求</w:t>
      </w:r>
      <w:r>
        <w:rPr>
          <w:color w:val="auto"/>
        </w:rPr>
        <w:t>】</w:t>
      </w:r>
      <w:r>
        <w:rPr>
          <w:rFonts w:hint="eastAsia"/>
          <w:color w:val="auto"/>
        </w:rPr>
        <w:t>设计文件应明确给出消能器的设计指标和检验要求。对于金属消能器，设计指标包括：屈服荷载、屈服位移、屈服后刚度、设计荷载、设计位移等；对于摩擦消能器，设计指标包括：起滑阻尼力、起滑位移、初始刚度、设计荷载、设计位移等。其中，设计荷载、设计位移、设计速度、设计应变、最大阻尼力应根据罕遇地震作用下弹塑性时程分析的结果确定。</w:t>
      </w:r>
    </w:p>
    <w:p>
      <w:pPr>
        <w:ind w:firstLine="420"/>
      </w:pPr>
    </w:p>
    <w:p>
      <w:pPr>
        <w:pStyle w:val="3"/>
      </w:pPr>
      <w:bookmarkStart w:id="16" w:name="_Toc517273846"/>
      <w:r>
        <w:rPr>
          <w:rFonts w:hint="eastAsia"/>
        </w:rPr>
        <w:t>采用速度相关型消能器的设计要点</w:t>
      </w:r>
      <w:bookmarkEnd w:id="16"/>
    </w:p>
    <w:p>
      <w:pPr>
        <w:pStyle w:val="4"/>
        <w:rPr>
          <w:color w:val="auto"/>
        </w:rPr>
      </w:pPr>
      <w:r>
        <w:rPr>
          <w:rFonts w:hint="eastAsia"/>
          <w:color w:val="auto"/>
        </w:rPr>
        <w:t>消能部件附加给结构的有效阻尼比可按《建筑消能减震技术规程》</w:t>
      </w:r>
      <w:r>
        <w:rPr>
          <w:color w:val="auto"/>
        </w:rPr>
        <w:t>JGJ 297-2013</w:t>
      </w:r>
      <w:r>
        <w:rPr>
          <w:rFonts w:hint="eastAsia"/>
          <w:color w:val="auto"/>
        </w:rPr>
        <w:t>中式（</w:t>
      </w:r>
      <w:r>
        <w:rPr>
          <w:color w:val="auto"/>
        </w:rPr>
        <w:t>6.3.2-1</w:t>
      </w:r>
      <w:r>
        <w:rPr>
          <w:rFonts w:hint="eastAsia"/>
          <w:color w:val="auto"/>
        </w:rPr>
        <w:t>）计算。在计算结构总应变能时，宜采用楼层水平地震作用标准值与对应楼层平均总位移（楼层质心位移）的乘积的一半，并应同时给出层间位移供校核；楼层中未屈服的消能器的剪力应计入楼层水平地震作用标准值。可采用累计能量比较法等其他可靠的方法进行校核。</w:t>
      </w:r>
    </w:p>
    <w:p>
      <w:pPr>
        <w:pStyle w:val="4"/>
        <w:rPr>
          <w:color w:val="auto"/>
        </w:rPr>
      </w:pPr>
      <w:r>
        <w:rPr>
          <w:color w:val="auto"/>
        </w:rPr>
        <w:t>【</w:t>
      </w:r>
      <w:r>
        <w:rPr>
          <w:rFonts w:hint="eastAsia"/>
          <w:color w:val="auto"/>
        </w:rPr>
        <w:t>速度相关型消能器的性能要求</w:t>
      </w:r>
      <w:r>
        <w:rPr>
          <w:color w:val="auto"/>
        </w:rPr>
        <w:t>】</w:t>
      </w:r>
      <w:r>
        <w:rPr>
          <w:rFonts w:hint="eastAsia"/>
          <w:color w:val="auto"/>
        </w:rPr>
        <w:t>设计文件应明确给出消能器的设计指标和检验要求。对于黏滞消能器，设计指标包括：设计位移、最大阻尼力、设计速度、阻尼指数、阻尼系数；对于黏弹性消能器，设计指标包括：设计应变、最大阻尼力、表观剪切模量、损耗因子等。其中，设计荷载、设计位移、设计速度、设计应变、最大阻尼力应根据罕遇地震作用下弹塑性时程分析的结果选用。</w:t>
      </w:r>
    </w:p>
    <w:p>
      <w:pPr>
        <w:ind w:firstLine="420"/>
      </w:pPr>
    </w:p>
    <w:p>
      <w:pPr>
        <w:pStyle w:val="3"/>
      </w:pPr>
      <w:bookmarkStart w:id="17" w:name="_Toc517273847"/>
      <w:r>
        <w:rPr>
          <w:rFonts w:hint="eastAsia"/>
        </w:rPr>
        <w:t>采用屈曲约束支撑的设计要点</w:t>
      </w:r>
      <w:bookmarkEnd w:id="17"/>
    </w:p>
    <w:p>
      <w:pPr>
        <w:pStyle w:val="4"/>
        <w:rPr>
          <w:color w:val="auto"/>
          <w:szCs w:val="24"/>
        </w:rPr>
      </w:pPr>
      <w:r>
        <w:rPr>
          <w:color w:val="auto"/>
        </w:rPr>
        <w:t>采用</w:t>
      </w:r>
      <w:r>
        <w:rPr>
          <w:color w:val="auto"/>
          <w:szCs w:val="24"/>
        </w:rPr>
        <w:t>屈曲约束支撑</w:t>
      </w:r>
      <w:r>
        <w:rPr>
          <w:rFonts w:hint="eastAsia"/>
          <w:color w:val="auto"/>
          <w:szCs w:val="24"/>
        </w:rPr>
        <w:t>和普通钢支撑</w:t>
      </w:r>
      <w:r>
        <w:rPr>
          <w:rFonts w:hint="eastAsia"/>
          <w:color w:val="auto"/>
        </w:rPr>
        <w:t>—</w:t>
      </w:r>
      <w:r>
        <w:rPr>
          <w:color w:val="auto"/>
        </w:rPr>
        <w:t>混凝土框架组成抗侧力体系的结构</w:t>
      </w:r>
      <w:r>
        <w:rPr>
          <w:rFonts w:hint="eastAsia"/>
          <w:color w:val="auto"/>
        </w:rPr>
        <w:t>时，如果</w:t>
      </w:r>
      <w:r>
        <w:rPr>
          <w:color w:val="auto"/>
        </w:rPr>
        <w:t>房屋高度</w:t>
      </w:r>
      <w:r>
        <w:rPr>
          <w:rFonts w:hint="eastAsia"/>
          <w:color w:val="auto"/>
        </w:rPr>
        <w:t>不</w:t>
      </w:r>
      <w:r>
        <w:rPr>
          <w:color w:val="auto"/>
        </w:rPr>
        <w:t>超过《建筑抗震设计规范》第6.1.1条规定的钢筋混凝土框架结构最大适用高度</w:t>
      </w:r>
      <w:r>
        <w:rPr>
          <w:rFonts w:hint="eastAsia"/>
          <w:color w:val="auto"/>
        </w:rPr>
        <w:t>，</w:t>
      </w:r>
      <w:r>
        <w:rPr>
          <w:color w:val="auto"/>
        </w:rPr>
        <w:t>支撑框架按刚度分配的</w:t>
      </w:r>
      <w:r>
        <w:rPr>
          <w:rFonts w:hint="eastAsia"/>
          <w:color w:val="auto"/>
        </w:rPr>
        <w:t>多遇</w:t>
      </w:r>
      <w:r>
        <w:rPr>
          <w:color w:val="auto"/>
        </w:rPr>
        <w:t>地震倾覆力矩</w:t>
      </w:r>
      <w:r>
        <w:rPr>
          <w:rFonts w:hint="eastAsia"/>
          <w:color w:val="auto"/>
        </w:rPr>
        <w:t>可按设计需要确定；如果</w:t>
      </w:r>
      <w:r>
        <w:rPr>
          <w:color w:val="auto"/>
        </w:rPr>
        <w:t>抗震设防烈度为6~8度且</w:t>
      </w:r>
      <w:r>
        <w:rPr>
          <w:rFonts w:hint="eastAsia"/>
          <w:color w:val="auto"/>
        </w:rPr>
        <w:t>房屋</w:t>
      </w:r>
      <w:r>
        <w:rPr>
          <w:color w:val="auto"/>
        </w:rPr>
        <w:t>高度超过钢筋混凝土框架结构最大适用高度</w:t>
      </w:r>
      <w:r>
        <w:rPr>
          <w:rFonts w:hint="eastAsia"/>
          <w:color w:val="auto"/>
        </w:rPr>
        <w:t>但小于</w:t>
      </w:r>
      <w:r>
        <w:rPr>
          <w:color w:val="auto"/>
        </w:rPr>
        <w:t>钢筋混凝土框架结构和框架抗震墙结构二者最大适用高度的平均值</w:t>
      </w:r>
      <w:r>
        <w:rPr>
          <w:rFonts w:hint="eastAsia"/>
          <w:color w:val="auto"/>
        </w:rPr>
        <w:t>，</w:t>
      </w:r>
      <w:r>
        <w:rPr>
          <w:color w:val="auto"/>
        </w:rPr>
        <w:t>底层的支撑框架按刚度分配的</w:t>
      </w:r>
      <w:r>
        <w:rPr>
          <w:rFonts w:hint="eastAsia"/>
          <w:color w:val="auto"/>
        </w:rPr>
        <w:t>多遇</w:t>
      </w:r>
      <w:r>
        <w:rPr>
          <w:color w:val="auto"/>
        </w:rPr>
        <w:t>地震倾覆力矩应大于结构总地震倾覆力矩的50%。</w:t>
      </w:r>
    </w:p>
    <w:p>
      <w:pPr>
        <w:ind w:firstLine="480"/>
        <w:rPr>
          <w:sz w:val="24"/>
        </w:rPr>
      </w:pPr>
      <w:r>
        <w:rPr>
          <w:rFonts w:hint="eastAsia"/>
          <w:sz w:val="24"/>
        </w:rPr>
        <w:t>当结构中含有在罕遇地震下可能屈服的普通钢支撑时，则应按含与不含该部分普通钢支撑两种模型进行多遇地震作用的计算，并宜取二者的较大值。</w:t>
      </w:r>
    </w:p>
    <w:p>
      <w:pPr>
        <w:ind w:firstLine="480"/>
        <w:rPr>
          <w:sz w:val="24"/>
        </w:rPr>
      </w:pPr>
      <w:r>
        <w:rPr>
          <w:sz w:val="24"/>
        </w:rPr>
        <w:t>屈曲约束支撑</w:t>
      </w:r>
      <w:r>
        <w:rPr>
          <w:rFonts w:hint="eastAsia"/>
          <w:sz w:val="24"/>
        </w:rPr>
        <w:t>和普通钢支撑—</w:t>
      </w:r>
      <w:r>
        <w:rPr>
          <w:sz w:val="24"/>
        </w:rPr>
        <w:t>混凝土框架</w:t>
      </w:r>
      <w:r>
        <w:rPr>
          <w:rFonts w:hint="eastAsia"/>
          <w:sz w:val="24"/>
        </w:rPr>
        <w:t>结构的设计尚应符合</w:t>
      </w:r>
      <w:r>
        <w:rPr>
          <w:sz w:val="24"/>
        </w:rPr>
        <w:t>《建筑抗震设计规范》</w:t>
      </w:r>
      <w:r>
        <w:rPr>
          <w:rFonts w:hint="eastAsia"/>
          <w:sz w:val="24"/>
        </w:rPr>
        <w:t>附录G.1节除G.1.3条第5款、G.1.4条第3款外的要求。</w:t>
      </w:r>
    </w:p>
    <w:p>
      <w:pPr>
        <w:pStyle w:val="4"/>
        <w:rPr>
          <w:color w:val="auto"/>
        </w:rPr>
      </w:pPr>
      <w:r>
        <w:rPr>
          <w:rFonts w:hint="eastAsia"/>
          <w:color w:val="auto"/>
        </w:rPr>
        <w:t>屈曲约束支撑在多遇地震作用下不宜屈服耗能。</w:t>
      </w:r>
    </w:p>
    <w:p>
      <w:pPr>
        <w:pStyle w:val="4"/>
        <w:rPr>
          <w:color w:val="auto"/>
        </w:rPr>
      </w:pPr>
      <w:r>
        <w:rPr>
          <w:color w:val="auto"/>
        </w:rPr>
        <w:t>【</w:t>
      </w:r>
      <w:r>
        <w:rPr>
          <w:rFonts w:hint="eastAsia"/>
          <w:color w:val="auto"/>
        </w:rPr>
        <w:t>屈曲约束支撑的性能要求</w:t>
      </w:r>
      <w:r>
        <w:rPr>
          <w:color w:val="auto"/>
        </w:rPr>
        <w:t>】</w:t>
      </w:r>
      <w:r>
        <w:rPr>
          <w:rFonts w:hint="eastAsia"/>
          <w:color w:val="auto"/>
        </w:rPr>
        <w:t>设计文件应明确给出消能器的设计指标和检验要求。对于屈曲约束支撑，设计指标包括：屈服荷载、屈服位移、屈服后刚度、设计荷载、设计位移等。其中，设计荷载、设计位移应根据罕遇地震作用下弹塑性时程分析的结果确定。</w:t>
      </w:r>
    </w:p>
    <w:p>
      <w:pPr>
        <w:ind w:firstLine="420"/>
      </w:pPr>
    </w:p>
    <w:p>
      <w:pPr>
        <w:pStyle w:val="3"/>
      </w:pPr>
      <w:bookmarkStart w:id="18" w:name="_Toc517273848"/>
      <w:r>
        <w:rPr>
          <w:rFonts w:hint="eastAsia"/>
        </w:rPr>
        <w:t>消能子结构的设计要点</w:t>
      </w:r>
      <w:bookmarkEnd w:id="18"/>
    </w:p>
    <w:p>
      <w:pPr>
        <w:pStyle w:val="4"/>
        <w:rPr>
          <w:color w:val="auto"/>
        </w:rPr>
      </w:pPr>
      <w:r>
        <w:rPr>
          <w:rFonts w:hint="eastAsia"/>
          <w:color w:val="auto"/>
        </w:rPr>
        <w:t>消能子结构的强度和刚度应满足《建筑消能减震技术规程》</w:t>
      </w:r>
      <w:r>
        <w:rPr>
          <w:color w:val="auto"/>
        </w:rPr>
        <w:t>JGJ 297的相关</w:t>
      </w:r>
      <w:r>
        <w:rPr>
          <w:rFonts w:hint="eastAsia"/>
          <w:color w:val="auto"/>
        </w:rPr>
        <w:t>要求。</w:t>
      </w:r>
    </w:p>
    <w:p>
      <w:pPr>
        <w:pStyle w:val="4"/>
        <w:rPr>
          <w:color w:val="auto"/>
        </w:rPr>
      </w:pPr>
      <w:r>
        <w:rPr>
          <w:rFonts w:hint="eastAsia"/>
          <w:color w:val="auto"/>
        </w:rPr>
        <w:t>消能子结构的材料强度严禁超过其极限值，应符合下表的规定。</w:t>
      </w:r>
    </w:p>
    <w:p>
      <w:pPr>
        <w:ind w:firstLine="420"/>
        <w:jc w:val="center"/>
      </w:pPr>
      <w:r>
        <w:rPr>
          <w:rFonts w:hint="eastAsia"/>
        </w:rPr>
        <w:t>表4.5.2  消能子结构材料强度极限值</w:t>
      </w:r>
    </w:p>
    <w:tbl>
      <w:tblPr>
        <w:tblStyle w:val="41"/>
        <w:tblW w:w="5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1636"/>
        <w:gridCol w:w="2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shd w:val="clear" w:color="auto" w:fill="auto"/>
            <w:vAlign w:val="center"/>
          </w:tcPr>
          <w:p>
            <w:pPr>
              <w:ind w:firstLine="21" w:firstLineChars="10"/>
              <w:jc w:val="center"/>
            </w:pPr>
            <w:r>
              <w:rPr>
                <w:rFonts w:hint="eastAsia"/>
              </w:rPr>
              <w:t>材料</w:t>
            </w:r>
          </w:p>
        </w:tc>
        <w:tc>
          <w:tcPr>
            <w:tcW w:w="1636" w:type="dxa"/>
            <w:shd w:val="clear" w:color="auto" w:fill="auto"/>
            <w:vAlign w:val="center"/>
          </w:tcPr>
          <w:p>
            <w:pPr>
              <w:ind w:firstLine="0" w:firstLineChars="0"/>
              <w:jc w:val="center"/>
            </w:pPr>
            <w:r>
              <w:rPr>
                <w:rFonts w:hint="eastAsia"/>
              </w:rPr>
              <w:t>强度等级</w:t>
            </w:r>
          </w:p>
        </w:tc>
        <w:tc>
          <w:tcPr>
            <w:tcW w:w="2790" w:type="dxa"/>
            <w:shd w:val="clear" w:color="auto" w:fill="auto"/>
            <w:vAlign w:val="center"/>
          </w:tcPr>
          <w:p>
            <w:pPr>
              <w:ind w:firstLine="0" w:firstLineChars="0"/>
              <w:jc w:val="center"/>
            </w:pPr>
            <w:r>
              <w:t>极</w:t>
            </w:r>
            <w:r>
              <w:rPr>
                <w:rFonts w:hint="eastAsia"/>
              </w:rPr>
              <w:t xml:space="preserve"> </w:t>
            </w:r>
            <w:r>
              <w:t>限</w:t>
            </w:r>
            <w:r>
              <w:rPr>
                <w:rFonts w:hint="eastAsia"/>
              </w:rPr>
              <w:t xml:space="preserve"> </w:t>
            </w:r>
            <w:r>
              <w:t>值(N/mm</w:t>
            </w:r>
            <w:r>
              <w:rPr>
                <w:vertAlign w:val="superscript"/>
              </w:rPr>
              <w:t>2</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restart"/>
            <w:shd w:val="clear" w:color="auto" w:fill="auto"/>
            <w:vAlign w:val="center"/>
          </w:tcPr>
          <w:p>
            <w:pPr>
              <w:ind w:firstLine="21" w:firstLineChars="10"/>
              <w:jc w:val="center"/>
            </w:pPr>
            <w:r>
              <w:rPr>
                <w:rFonts w:hint="eastAsia"/>
              </w:rPr>
              <w:t>钢筋</w:t>
            </w:r>
          </w:p>
        </w:tc>
        <w:tc>
          <w:tcPr>
            <w:tcW w:w="1636" w:type="dxa"/>
            <w:shd w:val="clear" w:color="auto" w:fill="auto"/>
            <w:vAlign w:val="center"/>
          </w:tcPr>
          <w:p>
            <w:pPr>
              <w:ind w:firstLine="0" w:firstLineChars="0"/>
              <w:jc w:val="center"/>
            </w:pPr>
            <w:r>
              <w:rPr>
                <w:rFonts w:hint="eastAsia"/>
              </w:rPr>
              <w:t>HRB400</w:t>
            </w:r>
          </w:p>
        </w:tc>
        <w:tc>
          <w:tcPr>
            <w:tcW w:w="2790" w:type="dxa"/>
            <w:shd w:val="clear" w:color="auto" w:fill="auto"/>
            <w:vAlign w:val="center"/>
          </w:tcPr>
          <w:p>
            <w:pPr>
              <w:ind w:firstLine="0" w:firstLineChars="0"/>
              <w:jc w:val="center"/>
            </w:pPr>
            <w:r>
              <w:rPr>
                <w:rFonts w:hint="eastAsia"/>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21" w:firstLineChars="10"/>
              <w:jc w:val="center"/>
            </w:pPr>
          </w:p>
        </w:tc>
        <w:tc>
          <w:tcPr>
            <w:tcW w:w="1636" w:type="dxa"/>
            <w:shd w:val="clear" w:color="auto" w:fill="auto"/>
            <w:vAlign w:val="center"/>
          </w:tcPr>
          <w:p>
            <w:pPr>
              <w:ind w:firstLine="0" w:firstLineChars="0"/>
              <w:jc w:val="center"/>
            </w:pPr>
            <w:r>
              <w:rPr>
                <w:rFonts w:hint="eastAsia"/>
              </w:rPr>
              <w:t>HRB500</w:t>
            </w:r>
          </w:p>
        </w:tc>
        <w:tc>
          <w:tcPr>
            <w:tcW w:w="2790" w:type="dxa"/>
            <w:shd w:val="clear" w:color="auto" w:fill="auto"/>
            <w:vAlign w:val="center"/>
          </w:tcPr>
          <w:p>
            <w:pPr>
              <w:ind w:firstLine="0" w:firstLineChars="0"/>
              <w:jc w:val="center"/>
            </w:pPr>
            <w:r>
              <w:rPr>
                <w:rFonts w:hint="eastAsia"/>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restart"/>
            <w:shd w:val="clear" w:color="auto" w:fill="auto"/>
            <w:vAlign w:val="center"/>
          </w:tcPr>
          <w:p>
            <w:pPr>
              <w:ind w:firstLine="21" w:firstLineChars="10"/>
              <w:jc w:val="center"/>
            </w:pPr>
            <w:r>
              <w:rPr>
                <w:rFonts w:hint="eastAsia"/>
              </w:rPr>
              <w:t>混凝土</w:t>
            </w:r>
          </w:p>
        </w:tc>
        <w:tc>
          <w:tcPr>
            <w:tcW w:w="1636" w:type="dxa"/>
            <w:shd w:val="clear" w:color="auto" w:fill="auto"/>
            <w:vAlign w:val="center"/>
          </w:tcPr>
          <w:p>
            <w:pPr>
              <w:ind w:firstLine="0" w:firstLineChars="0"/>
              <w:jc w:val="center"/>
            </w:pPr>
            <w:r>
              <w:rPr>
                <w:rFonts w:hint="eastAsia"/>
              </w:rPr>
              <w:t>C30</w:t>
            </w:r>
          </w:p>
        </w:tc>
        <w:tc>
          <w:tcPr>
            <w:tcW w:w="2790" w:type="dxa"/>
            <w:shd w:val="clear" w:color="auto" w:fill="auto"/>
            <w:vAlign w:val="center"/>
          </w:tcPr>
          <w:p>
            <w:pPr>
              <w:ind w:firstLine="0" w:firstLineChars="0"/>
              <w:jc w:val="center"/>
            </w:pPr>
            <w:r>
              <w:rPr>
                <w:rFonts w:hint="eastAsia"/>
              </w:rPr>
              <w:t>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C35</w:t>
            </w:r>
          </w:p>
        </w:tc>
        <w:tc>
          <w:tcPr>
            <w:tcW w:w="2790" w:type="dxa"/>
            <w:shd w:val="clear" w:color="auto" w:fill="auto"/>
            <w:vAlign w:val="center"/>
          </w:tcPr>
          <w:p>
            <w:pPr>
              <w:ind w:firstLine="0" w:firstLineChars="0"/>
              <w:jc w:val="center"/>
            </w:pPr>
            <w:r>
              <w:rPr>
                <w:rFonts w:hint="eastAsia"/>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C40</w:t>
            </w:r>
          </w:p>
        </w:tc>
        <w:tc>
          <w:tcPr>
            <w:tcW w:w="2790" w:type="dxa"/>
            <w:shd w:val="clear" w:color="auto" w:fill="auto"/>
            <w:vAlign w:val="center"/>
          </w:tcPr>
          <w:p>
            <w:pPr>
              <w:ind w:firstLine="0" w:firstLineChars="0"/>
              <w:jc w:val="center"/>
            </w:pPr>
            <w:r>
              <w:rPr>
                <w:rFonts w:hint="eastAsia"/>
              </w:rPr>
              <w:t>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C45</w:t>
            </w:r>
          </w:p>
        </w:tc>
        <w:tc>
          <w:tcPr>
            <w:tcW w:w="2790" w:type="dxa"/>
            <w:shd w:val="clear" w:color="auto" w:fill="auto"/>
            <w:vAlign w:val="center"/>
          </w:tcPr>
          <w:p>
            <w:pPr>
              <w:ind w:firstLine="0" w:firstLineChars="0"/>
              <w:jc w:val="center"/>
            </w:pPr>
            <w:r>
              <w:rPr>
                <w:rFonts w:hint="eastAsia"/>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C50</w:t>
            </w:r>
          </w:p>
        </w:tc>
        <w:tc>
          <w:tcPr>
            <w:tcW w:w="2790" w:type="dxa"/>
            <w:shd w:val="clear" w:color="auto" w:fill="auto"/>
            <w:vAlign w:val="center"/>
          </w:tcPr>
          <w:p>
            <w:pPr>
              <w:ind w:firstLine="0" w:firstLineChars="0"/>
              <w:jc w:val="center"/>
            </w:pPr>
            <w:r>
              <w:rPr>
                <w:rFonts w:hint="eastAsia"/>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C55</w:t>
            </w:r>
          </w:p>
        </w:tc>
        <w:tc>
          <w:tcPr>
            <w:tcW w:w="2790" w:type="dxa"/>
            <w:shd w:val="clear" w:color="auto" w:fill="auto"/>
            <w:vAlign w:val="center"/>
          </w:tcPr>
          <w:p>
            <w:pPr>
              <w:ind w:firstLine="0" w:firstLineChars="0"/>
              <w:jc w:val="center"/>
            </w:pPr>
            <w:r>
              <w:rPr>
                <w:rFonts w:hint="eastAsia"/>
              </w:rPr>
              <w:t>48.4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C60</w:t>
            </w:r>
          </w:p>
        </w:tc>
        <w:tc>
          <w:tcPr>
            <w:tcW w:w="2790" w:type="dxa"/>
            <w:shd w:val="clear" w:color="auto" w:fill="auto"/>
            <w:vAlign w:val="center"/>
          </w:tcPr>
          <w:p>
            <w:pPr>
              <w:ind w:firstLine="0" w:firstLineChars="0"/>
              <w:jc w:val="center"/>
            </w:pPr>
            <w:r>
              <w:rPr>
                <w:rFonts w:hint="eastAsia"/>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restart"/>
            <w:shd w:val="clear" w:color="auto" w:fill="auto"/>
            <w:vAlign w:val="center"/>
          </w:tcPr>
          <w:p>
            <w:pPr>
              <w:ind w:firstLine="21" w:firstLineChars="10"/>
              <w:jc w:val="center"/>
            </w:pPr>
            <w:r>
              <w:t>钢材</w:t>
            </w:r>
          </w:p>
        </w:tc>
        <w:tc>
          <w:tcPr>
            <w:tcW w:w="1636" w:type="dxa"/>
            <w:shd w:val="clear" w:color="auto" w:fill="auto"/>
            <w:vAlign w:val="center"/>
          </w:tcPr>
          <w:p>
            <w:pPr>
              <w:ind w:firstLine="0" w:firstLineChars="0"/>
              <w:jc w:val="center"/>
            </w:pPr>
            <w:r>
              <w:rPr>
                <w:rFonts w:hint="eastAsia"/>
              </w:rPr>
              <w:t>Q235</w:t>
            </w:r>
          </w:p>
        </w:tc>
        <w:tc>
          <w:tcPr>
            <w:tcW w:w="2790" w:type="dxa"/>
            <w:shd w:val="clear" w:color="auto" w:fill="auto"/>
            <w:vAlign w:val="center"/>
          </w:tcPr>
          <w:p>
            <w:pPr>
              <w:ind w:firstLine="0" w:firstLineChars="0"/>
              <w:jc w:val="center"/>
            </w:pPr>
            <w:r>
              <w:rPr>
                <w:rFonts w:hint="eastAsia"/>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Q345</w:t>
            </w:r>
          </w:p>
        </w:tc>
        <w:tc>
          <w:tcPr>
            <w:tcW w:w="2790" w:type="dxa"/>
            <w:shd w:val="clear" w:color="auto" w:fill="auto"/>
            <w:vAlign w:val="center"/>
          </w:tcPr>
          <w:p>
            <w:pPr>
              <w:ind w:firstLine="0" w:firstLineChars="0"/>
              <w:jc w:val="center"/>
            </w:pPr>
            <w:r>
              <w:rPr>
                <w:rFonts w:hint="eastAsia"/>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Q390</w:t>
            </w:r>
          </w:p>
        </w:tc>
        <w:tc>
          <w:tcPr>
            <w:tcW w:w="2790" w:type="dxa"/>
            <w:shd w:val="clear" w:color="auto" w:fill="auto"/>
            <w:vAlign w:val="center"/>
          </w:tcPr>
          <w:p>
            <w:pPr>
              <w:ind w:firstLine="0" w:firstLineChars="0"/>
              <w:jc w:val="center"/>
            </w:pPr>
            <w:r>
              <w:rPr>
                <w:rFonts w:hint="eastAsia"/>
              </w:rPr>
              <w:t>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Q420</w:t>
            </w:r>
          </w:p>
        </w:tc>
        <w:tc>
          <w:tcPr>
            <w:tcW w:w="2790" w:type="dxa"/>
            <w:shd w:val="clear" w:color="auto" w:fill="auto"/>
            <w:vAlign w:val="center"/>
          </w:tcPr>
          <w:p>
            <w:pPr>
              <w:ind w:firstLine="0" w:firstLineChars="0"/>
              <w:jc w:val="center"/>
            </w:pPr>
            <w:r>
              <w:rPr>
                <w:rFonts w:hint="eastAsia"/>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0" w:type="dxa"/>
            <w:vMerge w:val="continue"/>
            <w:shd w:val="clear" w:color="auto" w:fill="auto"/>
            <w:vAlign w:val="center"/>
          </w:tcPr>
          <w:p>
            <w:pPr>
              <w:ind w:firstLine="420"/>
              <w:jc w:val="center"/>
            </w:pPr>
          </w:p>
        </w:tc>
        <w:tc>
          <w:tcPr>
            <w:tcW w:w="1636" w:type="dxa"/>
            <w:shd w:val="clear" w:color="auto" w:fill="auto"/>
            <w:vAlign w:val="center"/>
          </w:tcPr>
          <w:p>
            <w:pPr>
              <w:ind w:firstLine="0" w:firstLineChars="0"/>
              <w:jc w:val="center"/>
            </w:pPr>
            <w:r>
              <w:rPr>
                <w:rFonts w:hint="eastAsia"/>
              </w:rPr>
              <w:t>Q345GJ</w:t>
            </w:r>
          </w:p>
        </w:tc>
        <w:tc>
          <w:tcPr>
            <w:tcW w:w="2790" w:type="dxa"/>
            <w:shd w:val="clear" w:color="auto" w:fill="auto"/>
            <w:vAlign w:val="center"/>
          </w:tcPr>
          <w:p>
            <w:pPr>
              <w:ind w:firstLine="0" w:firstLineChars="0"/>
              <w:jc w:val="center"/>
            </w:pPr>
            <w:r>
              <w:rPr>
                <w:rFonts w:hint="eastAsia"/>
              </w:rPr>
              <w:t>490</w:t>
            </w:r>
          </w:p>
        </w:tc>
      </w:tr>
    </w:tbl>
    <w:p>
      <w:pPr>
        <w:ind w:firstLine="420"/>
      </w:pPr>
    </w:p>
    <w:p>
      <w:pPr>
        <w:pStyle w:val="4"/>
        <w:rPr>
          <w:color w:val="auto"/>
        </w:rPr>
      </w:pPr>
      <w:r>
        <w:rPr>
          <w:rFonts w:hint="eastAsia"/>
          <w:color w:val="auto"/>
        </w:rPr>
        <w:t>消能子结构中梁、柱、墙及节点构件的作用力应考虑消能器在极限位移或极限速度下的阻尼力作用。消能器宜避免与大墙肢相连，当剪力墙设有边框柱时，可仅将边框柱视为消能子结构的竖向构件。</w:t>
      </w:r>
    </w:p>
    <w:p>
      <w:pPr>
        <w:pStyle w:val="4"/>
        <w:rPr>
          <w:color w:val="auto"/>
        </w:rPr>
      </w:pPr>
      <w:r>
        <w:rPr>
          <w:rFonts w:hint="eastAsia"/>
          <w:color w:val="auto"/>
        </w:rPr>
        <w:t>与消能器直接相连的预埋件、支撑和支墩及节点板等其它构件的作用力取值应为消能器在设计位移或设计速度下对应阻尼力的</w:t>
      </w:r>
      <w:r>
        <w:rPr>
          <w:color w:val="auto"/>
        </w:rPr>
        <w:t>1.2</w:t>
      </w:r>
      <w:r>
        <w:rPr>
          <w:rFonts w:hint="eastAsia"/>
          <w:color w:val="auto"/>
        </w:rPr>
        <w:t>倍。</w:t>
      </w:r>
    </w:p>
    <w:p>
      <w:pPr>
        <w:pStyle w:val="4"/>
        <w:rPr>
          <w:color w:val="auto"/>
        </w:rPr>
      </w:pPr>
      <w:r>
        <w:rPr>
          <w:rFonts w:hint="eastAsia"/>
          <w:color w:val="auto"/>
        </w:rPr>
        <w:t>外墙处的消能器及其支承构件应置于围护墙体内侧；当消能器及其支承构件与内墙处于同一平面时，应采取有效措施确保消能器及其支承构件在地震作用下的变形不受阻碍。</w:t>
      </w:r>
    </w:p>
    <w:p>
      <w:pPr>
        <w:pStyle w:val="3"/>
      </w:pPr>
      <w:bookmarkStart w:id="19" w:name="_Toc517273849"/>
      <w:r>
        <w:rPr>
          <w:rFonts w:hint="eastAsia"/>
        </w:rPr>
        <w:t>建筑消能减震设计审查要点</w:t>
      </w:r>
      <w:bookmarkEnd w:id="19"/>
    </w:p>
    <w:p>
      <w:pPr>
        <w:pStyle w:val="4"/>
        <w:rPr>
          <w:color w:val="auto"/>
        </w:rPr>
      </w:pPr>
      <w:r>
        <w:rPr>
          <w:rFonts w:hint="eastAsia"/>
          <w:color w:val="auto"/>
        </w:rPr>
        <w:t>建筑消能减震设计审查包括抗震设防专项（超限）审查、施工图设计审查。</w:t>
      </w:r>
    </w:p>
    <w:p>
      <w:pPr>
        <w:pStyle w:val="4"/>
        <w:rPr>
          <w:color w:val="auto"/>
        </w:rPr>
      </w:pPr>
      <w:r>
        <w:rPr>
          <w:rFonts w:hint="eastAsia"/>
          <w:color w:val="auto"/>
        </w:rPr>
        <w:t>消能减震结构抗震设防专项（超限）审查资料中应有消能减震专篇。专篇中应包含消能减震设计说明、结构分析主要结果及其说明、消能器连接设计等内容。</w:t>
      </w:r>
    </w:p>
    <w:p>
      <w:pPr>
        <w:pStyle w:val="4"/>
        <w:rPr>
          <w:color w:val="auto"/>
        </w:rPr>
      </w:pPr>
      <w:r>
        <w:rPr>
          <w:rFonts w:hint="eastAsia"/>
          <w:color w:val="auto"/>
        </w:rPr>
        <w:t>消能减震抗震设防专项审查报告中消能减震专篇应包括下列内容：</w:t>
      </w:r>
    </w:p>
    <w:p>
      <w:pPr>
        <w:pStyle w:val="20"/>
        <w:ind w:firstLine="480"/>
        <w:rPr>
          <w:rFonts w:ascii="Times New Roman" w:hAnsi="Times New Roman"/>
          <w:sz w:val="24"/>
          <w:szCs w:val="24"/>
        </w:rPr>
      </w:pPr>
      <w:r>
        <w:rPr>
          <w:rFonts w:ascii="Times New Roman" w:hAnsi="Times New Roman"/>
          <w:sz w:val="24"/>
          <w:szCs w:val="24"/>
        </w:rPr>
        <w:t>1. 减震目标和性能目标</w:t>
      </w:r>
      <w:r>
        <w:rPr>
          <w:rFonts w:hint="eastAsia" w:ascii="Times New Roman" w:hAnsi="Times New Roman"/>
          <w:sz w:val="24"/>
          <w:szCs w:val="24"/>
        </w:rPr>
        <w:t>；</w:t>
      </w:r>
    </w:p>
    <w:p>
      <w:pPr>
        <w:pStyle w:val="20"/>
        <w:ind w:firstLine="48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 xml:space="preserve">. </w:t>
      </w:r>
      <w:r>
        <w:rPr>
          <w:rFonts w:hint="eastAsia" w:ascii="Times New Roman" w:hAnsi="Times New Roman"/>
          <w:sz w:val="24"/>
          <w:szCs w:val="24"/>
        </w:rPr>
        <w:t>消能器</w:t>
      </w:r>
      <w:r>
        <w:rPr>
          <w:rFonts w:ascii="Times New Roman" w:hAnsi="Times New Roman"/>
          <w:sz w:val="24"/>
          <w:szCs w:val="24"/>
        </w:rPr>
        <w:t>布置的原则</w:t>
      </w:r>
      <w:r>
        <w:rPr>
          <w:rFonts w:hint="eastAsia" w:ascii="Times New Roman" w:hAnsi="Times New Roman"/>
          <w:sz w:val="24"/>
          <w:szCs w:val="24"/>
        </w:rPr>
        <w:t>和</w:t>
      </w:r>
      <w:r>
        <w:rPr>
          <w:rFonts w:ascii="Times New Roman" w:hAnsi="Times New Roman"/>
          <w:sz w:val="24"/>
          <w:szCs w:val="24"/>
        </w:rPr>
        <w:t>方法</w:t>
      </w:r>
      <w:r>
        <w:rPr>
          <w:rFonts w:hint="eastAsia" w:ascii="Times New Roman" w:hAnsi="Times New Roman"/>
          <w:sz w:val="24"/>
          <w:szCs w:val="24"/>
        </w:rPr>
        <w:t>；</w:t>
      </w:r>
    </w:p>
    <w:p>
      <w:pPr>
        <w:pStyle w:val="20"/>
        <w:ind w:firstLine="480"/>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 xml:space="preserve">. </w:t>
      </w:r>
      <w:r>
        <w:rPr>
          <w:rFonts w:hint="eastAsia" w:ascii="Times New Roman" w:hAnsi="Times New Roman"/>
          <w:sz w:val="24"/>
          <w:szCs w:val="24"/>
        </w:rPr>
        <w:t>消能器</w:t>
      </w:r>
      <w:r>
        <w:rPr>
          <w:rFonts w:ascii="Times New Roman" w:hAnsi="Times New Roman"/>
          <w:sz w:val="24"/>
          <w:szCs w:val="24"/>
        </w:rPr>
        <w:t>型式。</w:t>
      </w:r>
      <w:r>
        <w:rPr>
          <w:rFonts w:hint="eastAsia" w:ascii="Times New Roman" w:hAnsi="Times New Roman"/>
          <w:sz w:val="24"/>
          <w:szCs w:val="24"/>
        </w:rPr>
        <w:t>可采用平面图、立面图的形式，给出各个消能器的布置位置及其编号，编号应当与后续文本中的数据表格相对应；</w:t>
      </w:r>
    </w:p>
    <w:p>
      <w:pPr>
        <w:pStyle w:val="20"/>
        <w:ind w:firstLine="480"/>
        <w:rPr>
          <w:rFonts w:ascii="Times New Roman" w:hAnsi="Times New Roman"/>
          <w:sz w:val="24"/>
          <w:szCs w:val="24"/>
        </w:rPr>
      </w:pPr>
      <w:r>
        <w:rPr>
          <w:rFonts w:hint="eastAsia" w:ascii="Times New Roman" w:hAnsi="Times New Roman"/>
          <w:sz w:val="24"/>
          <w:szCs w:val="24"/>
        </w:rPr>
        <w:t>4</w:t>
      </w:r>
      <w:r>
        <w:rPr>
          <w:rFonts w:ascii="Times New Roman" w:hAnsi="Times New Roman"/>
          <w:sz w:val="24"/>
          <w:szCs w:val="24"/>
        </w:rPr>
        <w:t xml:space="preserve">. </w:t>
      </w:r>
      <w:r>
        <w:rPr>
          <w:rFonts w:hint="eastAsia" w:ascii="Times New Roman" w:hAnsi="Times New Roman"/>
          <w:sz w:val="24"/>
          <w:szCs w:val="24"/>
        </w:rPr>
        <w:t>消能器</w:t>
      </w:r>
      <w:r>
        <w:rPr>
          <w:rFonts w:ascii="Times New Roman" w:hAnsi="Times New Roman"/>
          <w:sz w:val="24"/>
          <w:szCs w:val="24"/>
        </w:rPr>
        <w:t>的</w:t>
      </w:r>
      <w:r>
        <w:rPr>
          <w:rFonts w:hint="eastAsia" w:ascii="Times New Roman" w:hAnsi="Times New Roman"/>
          <w:sz w:val="24"/>
          <w:szCs w:val="24"/>
        </w:rPr>
        <w:t>设计指标</w:t>
      </w:r>
      <w:r>
        <w:rPr>
          <w:rFonts w:ascii="Times New Roman" w:hAnsi="Times New Roman"/>
          <w:sz w:val="24"/>
          <w:szCs w:val="24"/>
        </w:rPr>
        <w:t>和检验方法</w:t>
      </w:r>
      <w:r>
        <w:rPr>
          <w:rFonts w:hint="eastAsia" w:ascii="Times New Roman" w:hAnsi="Times New Roman"/>
          <w:sz w:val="24"/>
          <w:szCs w:val="24"/>
        </w:rPr>
        <w:t>；</w:t>
      </w:r>
    </w:p>
    <w:p>
      <w:pPr>
        <w:pStyle w:val="20"/>
        <w:ind w:firstLine="480"/>
        <w:rPr>
          <w:rFonts w:ascii="Times New Roman" w:hAnsi="Times New Roman"/>
          <w:sz w:val="24"/>
          <w:szCs w:val="24"/>
        </w:rPr>
      </w:pPr>
      <w:r>
        <w:rPr>
          <w:rFonts w:hint="eastAsia" w:ascii="Times New Roman" w:hAnsi="Times New Roman"/>
          <w:sz w:val="24"/>
          <w:szCs w:val="24"/>
        </w:rPr>
        <w:t>5.</w:t>
      </w:r>
      <w:r>
        <w:rPr>
          <w:rFonts w:hint="eastAsia"/>
        </w:rPr>
        <w:t xml:space="preserve"> </w:t>
      </w:r>
      <w:r>
        <w:rPr>
          <w:rFonts w:hint="eastAsia" w:ascii="Times New Roman" w:hAnsi="Times New Roman"/>
          <w:sz w:val="24"/>
          <w:szCs w:val="24"/>
        </w:rPr>
        <w:t>消能器安装大样、消能器连接件验算；</w:t>
      </w:r>
    </w:p>
    <w:p>
      <w:pPr>
        <w:pStyle w:val="20"/>
        <w:ind w:firstLine="480"/>
        <w:rPr>
          <w:rFonts w:ascii="Times New Roman" w:hAnsi="Times New Roman"/>
          <w:sz w:val="24"/>
          <w:szCs w:val="24"/>
        </w:rPr>
      </w:pPr>
      <w:r>
        <w:rPr>
          <w:rFonts w:hint="eastAsia" w:ascii="Times New Roman" w:hAnsi="Times New Roman"/>
          <w:sz w:val="24"/>
          <w:szCs w:val="24"/>
        </w:rPr>
        <w:t>6. 附加有效阻尼比、附加刚度的确定方法。速度相关型消能器只需确定附加阻尼比，位移相关型消能器要同时确定附加阻尼比和附加刚度，屈曲约束支撑只需确定附加刚度。</w:t>
      </w:r>
    </w:p>
    <w:p>
      <w:pPr>
        <w:pStyle w:val="20"/>
        <w:ind w:firstLine="480"/>
        <w:rPr>
          <w:rFonts w:ascii="Times New Roman" w:hAnsi="Times New Roman"/>
          <w:sz w:val="24"/>
          <w:szCs w:val="24"/>
        </w:rPr>
      </w:pPr>
      <w:r>
        <w:rPr>
          <w:rFonts w:hint="eastAsia" w:ascii="Times New Roman" w:hAnsi="Times New Roman"/>
          <w:sz w:val="24"/>
          <w:szCs w:val="24"/>
        </w:rPr>
        <w:t>7. 消能减震结构弹性模型与等效设计模型对比；</w:t>
      </w:r>
    </w:p>
    <w:p>
      <w:pPr>
        <w:pStyle w:val="20"/>
        <w:ind w:firstLine="480"/>
        <w:rPr>
          <w:rFonts w:ascii="Times New Roman" w:hAnsi="Times New Roman"/>
          <w:sz w:val="24"/>
          <w:szCs w:val="24"/>
        </w:rPr>
      </w:pPr>
      <w:r>
        <w:rPr>
          <w:rFonts w:hint="eastAsia" w:ascii="Times New Roman" w:hAnsi="Times New Roman"/>
          <w:sz w:val="24"/>
          <w:szCs w:val="24"/>
        </w:rPr>
        <w:t>8. 地震波选取。（</w:t>
      </w:r>
      <w:r>
        <w:rPr>
          <w:rFonts w:ascii="Times New Roman" w:hAnsi="Times New Roman"/>
          <w:sz w:val="24"/>
          <w:szCs w:val="24"/>
        </w:rPr>
        <w:t>地震波的选取</w:t>
      </w:r>
      <w:r>
        <w:rPr>
          <w:rFonts w:hint="eastAsia" w:ascii="Times New Roman" w:hAnsi="Times New Roman"/>
          <w:sz w:val="24"/>
          <w:szCs w:val="24"/>
        </w:rPr>
        <w:t>原则及所采用地震波的描述。天然地震波的描述应包括事件名称、地点、时间、震级、记录台站等重要信息，例如“1999年台湾集集地震，Mw7.62，TCU122台站记录”。</w:t>
      </w:r>
      <w:r>
        <w:rPr>
          <w:rFonts w:ascii="Times New Roman" w:hAnsi="Times New Roman"/>
          <w:sz w:val="24"/>
          <w:szCs w:val="24"/>
        </w:rPr>
        <w:t>给出各个时程工况下的基底剪力和反应谱基底剪力及其比值；给出时程谱曲线与规范谱曲线图；给出地震波速度时程曲线</w:t>
      </w:r>
      <w:r>
        <w:rPr>
          <w:rFonts w:hint="eastAsia" w:ascii="Times New Roman" w:hAnsi="Times New Roman"/>
          <w:sz w:val="24"/>
          <w:szCs w:val="24"/>
        </w:rPr>
        <w:t>。时间坐标宜统一。）</w:t>
      </w:r>
    </w:p>
    <w:p>
      <w:pPr>
        <w:pStyle w:val="20"/>
        <w:ind w:firstLine="480"/>
        <w:rPr>
          <w:rFonts w:ascii="Times New Roman" w:hAnsi="Times New Roman"/>
          <w:sz w:val="24"/>
          <w:szCs w:val="24"/>
        </w:rPr>
      </w:pPr>
      <w:r>
        <w:rPr>
          <w:rFonts w:hint="eastAsia" w:ascii="Times New Roman" w:hAnsi="Times New Roman"/>
          <w:sz w:val="24"/>
          <w:szCs w:val="24"/>
        </w:rPr>
        <w:t>9. 弹性时程分析；</w:t>
      </w:r>
    </w:p>
    <w:p>
      <w:pPr>
        <w:pStyle w:val="20"/>
        <w:ind w:firstLine="480"/>
        <w:rPr>
          <w:rFonts w:ascii="Times New Roman" w:hAnsi="Times New Roman"/>
          <w:sz w:val="24"/>
          <w:szCs w:val="24"/>
        </w:rPr>
      </w:pPr>
      <w:r>
        <w:rPr>
          <w:rFonts w:hint="eastAsia" w:ascii="Times New Roman" w:hAnsi="Times New Roman"/>
          <w:sz w:val="24"/>
          <w:szCs w:val="24"/>
        </w:rPr>
        <w:t>10. 复核附加有效阻尼比及附加刚度；</w:t>
      </w:r>
    </w:p>
    <w:p>
      <w:pPr>
        <w:pStyle w:val="20"/>
        <w:ind w:firstLine="480"/>
        <w:rPr>
          <w:rFonts w:ascii="Times New Roman" w:hAnsi="Times New Roman"/>
          <w:sz w:val="24"/>
          <w:szCs w:val="24"/>
        </w:rPr>
      </w:pPr>
      <w:r>
        <w:rPr>
          <w:rFonts w:hint="eastAsia" w:ascii="Times New Roman" w:hAnsi="Times New Roman"/>
          <w:sz w:val="24"/>
          <w:szCs w:val="24"/>
        </w:rPr>
        <w:t>11. 消能器出力与楼层剪力比；</w:t>
      </w:r>
    </w:p>
    <w:p>
      <w:pPr>
        <w:pStyle w:val="20"/>
        <w:ind w:firstLine="480"/>
        <w:rPr>
          <w:rFonts w:ascii="Times New Roman" w:hAnsi="Times New Roman"/>
          <w:sz w:val="24"/>
          <w:szCs w:val="24"/>
        </w:rPr>
      </w:pPr>
      <w:r>
        <w:rPr>
          <w:rFonts w:hint="eastAsia" w:ascii="Times New Roman" w:hAnsi="Times New Roman"/>
          <w:sz w:val="24"/>
          <w:szCs w:val="24"/>
        </w:rPr>
        <w:t>12. 弹塑性时程分析；设置和未设置消能器的典型立面的弹塑性发展过程；</w:t>
      </w:r>
    </w:p>
    <w:p>
      <w:pPr>
        <w:pStyle w:val="20"/>
        <w:ind w:firstLine="480"/>
        <w:rPr>
          <w:rFonts w:ascii="Times New Roman" w:hAnsi="Times New Roman"/>
          <w:sz w:val="24"/>
          <w:szCs w:val="24"/>
        </w:rPr>
      </w:pPr>
      <w:r>
        <w:rPr>
          <w:rFonts w:hint="eastAsia" w:ascii="Times New Roman" w:hAnsi="Times New Roman"/>
          <w:sz w:val="24"/>
          <w:szCs w:val="24"/>
        </w:rPr>
        <w:t>13. 速度相关型消能器在罕遇地震作用下的最大阻尼力、设计位移和设计速度；位移相关型消能器在罕遇地震作用下的出力及位移；屈曲约束支撑在罕遇地震下的最大出力及位移。</w:t>
      </w:r>
    </w:p>
    <w:p>
      <w:pPr>
        <w:pStyle w:val="20"/>
        <w:ind w:firstLine="480"/>
        <w:rPr>
          <w:rFonts w:ascii="Times New Roman" w:hAnsi="Times New Roman"/>
          <w:sz w:val="24"/>
          <w:szCs w:val="24"/>
        </w:rPr>
      </w:pPr>
      <w:r>
        <w:rPr>
          <w:rFonts w:hint="eastAsia" w:ascii="Times New Roman" w:hAnsi="Times New Roman"/>
          <w:sz w:val="24"/>
          <w:szCs w:val="24"/>
        </w:rPr>
        <w:t>14. 最大阻尼力与楼层层间屈服剪力比；</w:t>
      </w:r>
    </w:p>
    <w:p>
      <w:pPr>
        <w:pStyle w:val="20"/>
        <w:ind w:firstLine="480"/>
        <w:rPr>
          <w:rFonts w:ascii="Times New Roman" w:hAnsi="Times New Roman"/>
          <w:sz w:val="24"/>
          <w:szCs w:val="24"/>
        </w:rPr>
      </w:pPr>
      <w:r>
        <w:rPr>
          <w:rFonts w:hint="eastAsia" w:ascii="Times New Roman" w:hAnsi="Times New Roman"/>
          <w:sz w:val="24"/>
          <w:szCs w:val="24"/>
        </w:rPr>
        <w:t>15. 顶点大震弹性位移与弹塑性位移对比；</w:t>
      </w:r>
    </w:p>
    <w:p>
      <w:pPr>
        <w:pStyle w:val="20"/>
        <w:ind w:firstLine="480"/>
        <w:rPr>
          <w:rFonts w:ascii="Times New Roman" w:hAnsi="Times New Roman"/>
          <w:sz w:val="24"/>
          <w:szCs w:val="24"/>
        </w:rPr>
      </w:pPr>
      <w:r>
        <w:rPr>
          <w:rFonts w:hint="eastAsia" w:ascii="Times New Roman" w:hAnsi="Times New Roman"/>
          <w:sz w:val="24"/>
          <w:szCs w:val="24"/>
        </w:rPr>
        <w:t>16.消能子结构、消能部件的计算和构造。（每种消能器安装大样示例、每种消能器安装连接件的验算示例）</w:t>
      </w:r>
    </w:p>
    <w:p>
      <w:pPr>
        <w:pStyle w:val="20"/>
        <w:ind w:firstLine="480"/>
        <w:rPr>
          <w:rFonts w:ascii="Times New Roman" w:hAnsi="Times New Roman"/>
          <w:sz w:val="24"/>
          <w:szCs w:val="24"/>
        </w:rPr>
      </w:pPr>
      <w:r>
        <w:rPr>
          <w:rFonts w:hint="eastAsia" w:ascii="Times New Roman" w:hAnsi="Times New Roman"/>
          <w:sz w:val="24"/>
          <w:szCs w:val="24"/>
        </w:rPr>
        <w:t>17. 结论。</w:t>
      </w:r>
    </w:p>
    <w:p>
      <w:pPr>
        <w:pStyle w:val="4"/>
        <w:rPr>
          <w:color w:val="auto"/>
        </w:rPr>
      </w:pPr>
      <w:r>
        <w:rPr>
          <w:rFonts w:hint="eastAsia"/>
          <w:color w:val="auto"/>
          <w:szCs w:val="24"/>
        </w:rPr>
        <w:t>消能</w:t>
      </w:r>
      <w:r>
        <w:rPr>
          <w:rFonts w:hint="eastAsia"/>
          <w:color w:val="auto"/>
        </w:rPr>
        <w:t>减震结构抗震设防专项（超限）审查资料中应包含计算模型及其主要结果。审查中应对计算模型和计算过程进行复核，检查设计过程中的数据合理性和准确性，使设计分析模型符合结构真实受力情况。</w:t>
      </w:r>
    </w:p>
    <w:p>
      <w:pPr>
        <w:pStyle w:val="4"/>
        <w:rPr>
          <w:color w:val="auto"/>
        </w:rPr>
      </w:pPr>
      <w:r>
        <w:rPr>
          <w:rFonts w:hint="eastAsia"/>
          <w:color w:val="auto"/>
        </w:rPr>
        <w:t>消能减震结构施工图设计审查应根据专项审查报告及其回复，核查消能器的类型、连接方式、设计指标、检验要求、数量、布置位置等，如发生明显变化，应重新进行专项审查。</w:t>
      </w:r>
    </w:p>
    <w:p>
      <w:pPr>
        <w:pStyle w:val="4"/>
        <w:rPr>
          <w:color w:val="auto"/>
        </w:rPr>
      </w:pPr>
      <w:r>
        <w:rPr>
          <w:rFonts w:hint="eastAsia"/>
          <w:color w:val="auto"/>
        </w:rPr>
        <w:t>消能减震结构施工图设计文件中应有消能减震的专项说明、消能器安装大样、消能器连接件验算、消能器检验要求等。（每种消能器安装大样、</w:t>
      </w:r>
      <w:r>
        <w:rPr>
          <w:color w:val="auto"/>
        </w:rPr>
        <w:t xml:space="preserve"> </w:t>
      </w:r>
      <w:r>
        <w:rPr>
          <w:rFonts w:hint="eastAsia"/>
          <w:color w:val="auto"/>
        </w:rPr>
        <w:t>每种消能器安装连接件的设计资料）</w:t>
      </w:r>
    </w:p>
    <w:p>
      <w:pPr>
        <w:pStyle w:val="4"/>
        <w:rPr>
          <w:color w:val="auto"/>
        </w:rPr>
      </w:pPr>
      <w:bookmarkStart w:id="20" w:name="_Toc229226147"/>
      <w:bookmarkStart w:id="21" w:name="_Toc165099975"/>
      <w:r>
        <w:rPr>
          <w:rFonts w:hint="eastAsia"/>
          <w:color w:val="auto"/>
        </w:rPr>
        <w:t>消能减震结构施工图设计审查应核查用于弹塑性分析计算模型的配筋，应与用于近似计算模型的配筋保持一致。</w:t>
      </w:r>
    </w:p>
    <w:p>
      <w:pPr>
        <w:pStyle w:val="4"/>
        <w:rPr>
          <w:color w:val="auto"/>
        </w:rPr>
      </w:pPr>
      <w:r>
        <w:rPr>
          <w:rFonts w:hint="eastAsia"/>
          <w:color w:val="auto"/>
        </w:rPr>
        <w:t>消能减震结构施工图设计审查中应采用非线性时程分析方法对用于近似计算模型的等效阻尼比、等效刚度进行校核。</w:t>
      </w:r>
    </w:p>
    <w:p>
      <w:pPr>
        <w:pStyle w:val="4"/>
        <w:rPr>
          <w:color w:val="auto"/>
        </w:rPr>
      </w:pPr>
      <w:r>
        <w:rPr>
          <w:rFonts w:hint="eastAsia"/>
          <w:color w:val="auto"/>
        </w:rPr>
        <w:t>消能减震结构施工图设计审查应根据采用实际模拟消能器非线性性能的计算分析结果，对利用近似计算模型所得到的构件配筋进行校核。非线性计算模型可适当简化，但结构总质量、主要周期等重要指标应与近似计算模型保持一致。</w:t>
      </w:r>
    </w:p>
    <w:p>
      <w:pPr>
        <w:pStyle w:val="4"/>
        <w:rPr>
          <w:color w:val="auto"/>
        </w:rPr>
      </w:pPr>
      <w:r>
        <w:rPr>
          <w:rFonts w:hint="eastAsia"/>
          <w:color w:val="auto"/>
        </w:rPr>
        <w:t>消能减震结构施工图设计审查应根据专项审查资料中罕遇地震作用下消能子结构的设计方法，对每一个子结构的设计资料进行复核。</w:t>
      </w:r>
    </w:p>
    <w:p>
      <w:pPr>
        <w:ind w:firstLine="420"/>
      </w:pPr>
    </w:p>
    <w:p>
      <w:pPr>
        <w:ind w:firstLine="420"/>
      </w:pPr>
    </w:p>
    <w:p>
      <w:pPr>
        <w:ind w:firstLine="420"/>
      </w:pPr>
    </w:p>
    <w:p>
      <w:pPr>
        <w:ind w:firstLine="199" w:firstLineChars="95"/>
        <w:sectPr>
          <w:footerReference r:id="rId9" w:type="default"/>
          <w:pgSz w:w="11906" w:h="16838"/>
          <w:pgMar w:top="1440" w:right="1797" w:bottom="1440" w:left="1797" w:header="851" w:footer="992" w:gutter="0"/>
          <w:pgNumType w:start="1"/>
          <w:cols w:space="425" w:num="1"/>
          <w:docGrid w:type="lines" w:linePitch="312" w:charSpace="0"/>
        </w:sectPr>
      </w:pPr>
    </w:p>
    <w:bookmarkEnd w:id="20"/>
    <w:bookmarkEnd w:id="21"/>
    <w:p>
      <w:pPr>
        <w:pStyle w:val="2"/>
      </w:pPr>
      <w:bookmarkStart w:id="22" w:name="_Toc517273850"/>
      <w:bookmarkStart w:id="23" w:name="_Toc517273854"/>
      <w:r>
        <w:rPr>
          <w:rFonts w:hint="eastAsia"/>
        </w:rPr>
        <w:t>建筑消能减震设计流程</w:t>
      </w:r>
      <w:bookmarkEnd w:id="22"/>
    </w:p>
    <w:p>
      <w:pPr>
        <w:ind w:firstLine="480"/>
        <w:rPr>
          <w:sz w:val="24"/>
          <w:szCs w:val="24"/>
        </w:rPr>
      </w:pPr>
      <w:r>
        <w:rPr>
          <w:rFonts w:hint="eastAsia"/>
          <w:sz w:val="24"/>
          <w:szCs w:val="24"/>
        </w:rPr>
        <w:t>本节主要介绍速度相关型消能器、位移相关型消能器和屈曲约束支撑的设计流程，其中速度相关型消能器减震结构设计流程以黏滞消能器为例，位移相关型消能器减震结构以软钢消能器、对速度不敏感的黏弹阻尼器及摩擦阻尼器为例。</w:t>
      </w:r>
    </w:p>
    <w:p>
      <w:pPr>
        <w:pStyle w:val="3"/>
      </w:pPr>
      <w:bookmarkStart w:id="24" w:name="_Toc517273851"/>
      <w:r>
        <w:rPr>
          <w:rFonts w:hint="eastAsia"/>
        </w:rPr>
        <w:t>黏滞消能器减震结构设计流程</w:t>
      </w:r>
      <w:bookmarkEnd w:id="24"/>
    </w:p>
    <w:p>
      <w:pPr>
        <w:pStyle w:val="4"/>
        <w:rPr>
          <w:color w:val="auto"/>
        </w:rPr>
      </w:pPr>
      <w:r>
        <w:rPr>
          <w:rFonts w:hint="eastAsia"/>
          <w:color w:val="auto"/>
        </w:rPr>
        <w:t>黏滞消能器</w:t>
      </w:r>
    </w:p>
    <w:p>
      <w:pPr>
        <w:ind w:firstLine="420"/>
      </w:pPr>
      <w:r>
        <w:rPr>
          <w:rFonts w:hint="eastAsia"/>
        </w:rPr>
        <w:t>黏滞流体消能器内置液体，理论上不提供刚度，因此不影响附加消能器之后结构的周期和振型；在简谐振动下滞回曲线呈椭圆型，表明消能器在最大位移状态下受力为零，最大受力情况下位移为零。黏滞流体消能器既可以降低地震反应中的结构受力，也可以降低位移反应。根据以往的工程设计实例，黏滞消能器减震结构的实用设计流程归纳如图5.1.1。</w:t>
      </w:r>
    </w:p>
    <w:p>
      <w:pPr>
        <w:ind w:firstLine="0" w:firstLineChars="0"/>
        <w:jc w:val="center"/>
        <w:rPr>
          <w:sz w:val="24"/>
          <w:szCs w:val="24"/>
        </w:rPr>
      </w:pPr>
      <w:r>
        <w:rPr>
          <w:rFonts w:hint="eastAsia"/>
          <w:sz w:val="24"/>
          <w:szCs w:val="24"/>
        </w:rPr>
        <w:drawing>
          <wp:inline distT="0" distB="0" distL="114300" distR="114300">
            <wp:extent cx="4512945" cy="5152390"/>
            <wp:effectExtent l="0" t="0" r="1905" b="10160"/>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
                    <pic:cNvPicPr>
                      <a:picLocks noChangeAspect="1"/>
                    </pic:cNvPicPr>
                  </pic:nvPicPr>
                  <pic:blipFill>
                    <a:blip r:embed="rId11" cstate="print"/>
                    <a:stretch>
                      <a:fillRect/>
                    </a:stretch>
                  </pic:blipFill>
                  <pic:spPr>
                    <a:xfrm>
                      <a:off x="0" y="0"/>
                      <a:ext cx="4512945" cy="5152390"/>
                    </a:xfrm>
                    <a:prstGeom prst="rect">
                      <a:avLst/>
                    </a:prstGeom>
                    <a:noFill/>
                    <a:ln w="9525">
                      <a:noFill/>
                    </a:ln>
                  </pic:spPr>
                </pic:pic>
              </a:graphicData>
            </a:graphic>
          </wp:inline>
        </w:drawing>
      </w:r>
    </w:p>
    <w:p>
      <w:pPr>
        <w:ind w:firstLine="0" w:firstLineChars="0"/>
        <w:jc w:val="center"/>
        <w:rPr>
          <w:sz w:val="24"/>
          <w:szCs w:val="24"/>
        </w:rPr>
      </w:pPr>
      <w:r>
        <w:rPr>
          <w:rFonts w:hint="eastAsia"/>
          <w:sz w:val="24"/>
          <w:szCs w:val="24"/>
        </w:rPr>
        <w:t>图5.1.1   黏滞消能器减震结构的实用设计流程图</w:t>
      </w:r>
    </w:p>
    <w:p>
      <w:pPr>
        <w:ind w:firstLine="0" w:firstLineChars="0"/>
        <w:jc w:val="center"/>
        <w:rPr>
          <w:sz w:val="24"/>
          <w:szCs w:val="24"/>
        </w:rPr>
      </w:pPr>
    </w:p>
    <w:p>
      <w:pPr>
        <w:pStyle w:val="4"/>
        <w:rPr>
          <w:color w:val="auto"/>
        </w:rPr>
      </w:pPr>
      <w:bookmarkStart w:id="25" w:name="_Ref507062594"/>
      <w:r>
        <w:rPr>
          <w:rFonts w:hint="eastAsia"/>
          <w:color w:val="auto"/>
        </w:rPr>
        <w:t>确定减震目标和性能目标</w:t>
      </w:r>
      <w:bookmarkEnd w:id="25"/>
    </w:p>
    <w:p>
      <w:pPr>
        <w:ind w:firstLine="420"/>
      </w:pPr>
      <w:r>
        <w:rPr>
          <w:rFonts w:hint="eastAsia"/>
        </w:rPr>
        <w:t>1  黏滞消能器只能为主体结构提供附加阻尼，因此减震目标通常体现为结构最大层间位移角和底部剪力降低一定的比例。</w:t>
      </w:r>
    </w:p>
    <w:p>
      <w:pPr>
        <w:ind w:firstLine="420"/>
      </w:pPr>
      <w:r>
        <w:rPr>
          <w:rFonts w:hint="eastAsia"/>
        </w:rPr>
        <w:t>2  结构抗震性能化设计以现有抗震性能水平和经济条件为前提，一般需综合考虑使用功能、设防烈度、结构不规则程度和类型、结构延性变形能力、造价、震后损失与修复难度等因素，不同的抗震设防类别，其性能设计要求也有所不同。鉴于目前强震下结构弹塑性分析方法的计算模型及参数选用尚存在不少经验因素，缺少从强震记录、设计施工资料及实际震害的验证，对结构性能的判断难以准确把握，因此，宜偏于安全地选用性能目标。</w:t>
      </w:r>
    </w:p>
    <w:p>
      <w:pPr>
        <w:ind w:firstLine="420"/>
      </w:pPr>
      <w:r>
        <w:rPr>
          <w:rFonts w:hint="eastAsia"/>
        </w:rPr>
        <w:t>结合以往工程实例，黏滞消能减震结构的性能目标可按表5.1.2选用。</w:t>
      </w:r>
    </w:p>
    <w:p>
      <w:pPr>
        <w:ind w:firstLine="525" w:firstLineChars="250"/>
        <w:jc w:val="center"/>
      </w:pPr>
      <w:r>
        <w:rPr>
          <w:rFonts w:hint="eastAsia"/>
        </w:rPr>
        <w:t>表5.1.2 黏滞消能减震结构性能目标</w:t>
      </w:r>
    </w:p>
    <w:tbl>
      <w:tblPr>
        <w:tblStyle w:val="41"/>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990"/>
        <w:gridCol w:w="1977"/>
        <w:gridCol w:w="4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180" w:type="dxa"/>
            <w:gridSpan w:val="4"/>
            <w:vAlign w:val="center"/>
          </w:tcPr>
          <w:p>
            <w:pPr>
              <w:ind w:firstLine="0" w:firstLineChars="0"/>
              <w:jc w:val="center"/>
            </w:pPr>
            <w:r>
              <w:rPr>
                <w:rFonts w:hint="eastAsia"/>
              </w:rPr>
              <w:t>性能目标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63" w:type="dxa"/>
            <w:vAlign w:val="center"/>
          </w:tcPr>
          <w:p>
            <w:pPr>
              <w:ind w:firstLine="0" w:firstLineChars="0"/>
              <w:jc w:val="center"/>
            </w:pPr>
            <w:r>
              <w:rPr>
                <w:rFonts w:hint="eastAsia"/>
              </w:rPr>
              <w:t>名称</w:t>
            </w:r>
          </w:p>
        </w:tc>
        <w:tc>
          <w:tcPr>
            <w:tcW w:w="1990" w:type="dxa"/>
            <w:vAlign w:val="center"/>
          </w:tcPr>
          <w:p>
            <w:pPr>
              <w:ind w:firstLine="525" w:firstLineChars="250"/>
              <w:jc w:val="center"/>
            </w:pPr>
            <w:r>
              <w:rPr>
                <w:rFonts w:hint="eastAsia"/>
              </w:rPr>
              <w:t>项目</w:t>
            </w:r>
          </w:p>
        </w:tc>
        <w:tc>
          <w:tcPr>
            <w:tcW w:w="1977" w:type="dxa"/>
            <w:vAlign w:val="center"/>
          </w:tcPr>
          <w:p>
            <w:pPr>
              <w:ind w:firstLine="0" w:firstLineChars="0"/>
              <w:jc w:val="center"/>
            </w:pPr>
            <w:r>
              <w:rPr>
                <w:rFonts w:hint="eastAsia"/>
              </w:rPr>
              <w:t>性能目标</w:t>
            </w:r>
          </w:p>
        </w:tc>
        <w:tc>
          <w:tcPr>
            <w:tcW w:w="4250" w:type="dxa"/>
            <w:vAlign w:val="center"/>
          </w:tcPr>
          <w:p>
            <w:pPr>
              <w:ind w:firstLine="0" w:firstLineChars="0"/>
              <w:jc w:val="center"/>
            </w:pPr>
            <w:r>
              <w:rPr>
                <w:rFonts w:hint="eastAsia"/>
              </w:rPr>
              <w:t>设计方法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0" w:hRule="atLeast"/>
          <w:jc w:val="center"/>
        </w:trPr>
        <w:tc>
          <w:tcPr>
            <w:tcW w:w="963" w:type="dxa"/>
            <w:vAlign w:val="center"/>
          </w:tcPr>
          <w:p>
            <w:pPr>
              <w:ind w:firstLine="0" w:firstLineChars="0"/>
              <w:jc w:val="center"/>
            </w:pPr>
            <w:r>
              <w:rPr>
                <w:rFonts w:hint="eastAsia"/>
              </w:rPr>
              <w:t>主体</w:t>
            </w:r>
          </w:p>
        </w:tc>
        <w:tc>
          <w:tcPr>
            <w:tcW w:w="1990" w:type="dxa"/>
            <w:vAlign w:val="center"/>
          </w:tcPr>
          <w:p>
            <w:pPr>
              <w:ind w:firstLine="0" w:firstLineChars="0"/>
              <w:jc w:val="center"/>
            </w:pPr>
            <w:r>
              <w:rPr>
                <w:rFonts w:hint="eastAsia"/>
              </w:rPr>
              <w:t>多遇地震</w:t>
            </w:r>
          </w:p>
        </w:tc>
        <w:tc>
          <w:tcPr>
            <w:tcW w:w="1977" w:type="dxa"/>
            <w:vAlign w:val="center"/>
          </w:tcPr>
          <w:p>
            <w:pPr>
              <w:ind w:firstLine="0" w:firstLineChars="0"/>
              <w:jc w:val="center"/>
            </w:pPr>
            <w:r>
              <w:rPr>
                <w:rFonts w:hint="eastAsia"/>
              </w:rPr>
              <w:t>全楼完全弹性</w:t>
            </w:r>
          </w:p>
        </w:tc>
        <w:tc>
          <w:tcPr>
            <w:tcW w:w="4250" w:type="dxa"/>
            <w:vAlign w:val="center"/>
          </w:tcPr>
          <w:p>
            <w:pPr>
              <w:ind w:firstLine="0" w:firstLineChars="0"/>
            </w:pPr>
            <w:r>
              <w:rPr>
                <w:rFonts w:hint="eastAsia"/>
              </w:rPr>
              <w:t>工况组合采用考虑各种系数的设计组合，材料强度采用设计值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7" w:hRule="atLeast"/>
          <w:jc w:val="center"/>
        </w:trPr>
        <w:tc>
          <w:tcPr>
            <w:tcW w:w="963" w:type="dxa"/>
            <w:vMerge w:val="restart"/>
            <w:vAlign w:val="center"/>
          </w:tcPr>
          <w:p>
            <w:pPr>
              <w:ind w:firstLine="0" w:firstLineChars="0"/>
              <w:jc w:val="center"/>
            </w:pPr>
            <w:r>
              <w:rPr>
                <w:rFonts w:hint="eastAsia"/>
              </w:rPr>
              <w:t>消能</w:t>
            </w:r>
          </w:p>
          <w:p>
            <w:pPr>
              <w:ind w:firstLine="0" w:firstLineChars="0"/>
              <w:jc w:val="center"/>
            </w:pPr>
            <w:r>
              <w:rPr>
                <w:rFonts w:hint="eastAsia"/>
              </w:rPr>
              <w:t>部件</w:t>
            </w:r>
          </w:p>
        </w:tc>
        <w:tc>
          <w:tcPr>
            <w:tcW w:w="1990" w:type="dxa"/>
            <w:vAlign w:val="center"/>
          </w:tcPr>
          <w:p>
            <w:pPr>
              <w:ind w:firstLine="0" w:firstLineChars="0"/>
              <w:jc w:val="center"/>
            </w:pPr>
            <w:r>
              <w:rPr>
                <w:rFonts w:hint="eastAsia"/>
              </w:rPr>
              <w:t>支撑、悬臂墙</w:t>
            </w:r>
          </w:p>
        </w:tc>
        <w:tc>
          <w:tcPr>
            <w:tcW w:w="1977" w:type="dxa"/>
            <w:vAlign w:val="center"/>
          </w:tcPr>
          <w:p>
            <w:pPr>
              <w:ind w:firstLine="0" w:firstLineChars="0"/>
              <w:jc w:val="center"/>
            </w:pPr>
            <w:r>
              <w:rPr>
                <w:rFonts w:hint="eastAsia"/>
              </w:rPr>
              <w:t>大震下弹性</w:t>
            </w:r>
          </w:p>
        </w:tc>
        <w:tc>
          <w:tcPr>
            <w:tcW w:w="4250" w:type="dxa"/>
            <w:vAlign w:val="center"/>
          </w:tcPr>
          <w:p>
            <w:pPr>
              <w:ind w:firstLine="0" w:firstLineChars="0"/>
            </w:pPr>
            <w:r>
              <w:rPr>
                <w:rFonts w:hint="eastAsia"/>
              </w:rPr>
              <w:t>以大震下构件的弹性内力进行截面配筋，材料强度采用设计值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jc w:val="center"/>
        </w:trPr>
        <w:tc>
          <w:tcPr>
            <w:tcW w:w="963" w:type="dxa"/>
            <w:vMerge w:val="continue"/>
            <w:vAlign w:val="center"/>
          </w:tcPr>
          <w:p>
            <w:pPr>
              <w:ind w:firstLine="525" w:firstLineChars="250"/>
              <w:jc w:val="center"/>
            </w:pPr>
          </w:p>
        </w:tc>
        <w:tc>
          <w:tcPr>
            <w:tcW w:w="1990" w:type="dxa"/>
            <w:vAlign w:val="center"/>
          </w:tcPr>
          <w:p>
            <w:pPr>
              <w:ind w:firstLine="0" w:firstLineChars="0"/>
              <w:jc w:val="center"/>
            </w:pPr>
            <w:r>
              <w:rPr>
                <w:rFonts w:hint="eastAsia"/>
              </w:rPr>
              <w:t>周围框架及节点</w:t>
            </w:r>
          </w:p>
        </w:tc>
        <w:tc>
          <w:tcPr>
            <w:tcW w:w="1977" w:type="dxa"/>
            <w:vAlign w:val="center"/>
          </w:tcPr>
          <w:p>
            <w:pPr>
              <w:ind w:firstLine="0" w:firstLineChars="0"/>
            </w:pPr>
            <w:r>
              <w:rPr>
                <w:rFonts w:hint="eastAsia"/>
              </w:rPr>
              <w:t>大震下</w:t>
            </w:r>
            <w:r>
              <w:rPr>
                <w:rFonts w:hint="eastAsia" w:ascii="宋体" w:hAnsi="宋体" w:cs="宋体"/>
              </w:rPr>
              <w:t>满足强度极限要求</w:t>
            </w:r>
          </w:p>
        </w:tc>
        <w:tc>
          <w:tcPr>
            <w:tcW w:w="4250" w:type="dxa"/>
            <w:vAlign w:val="center"/>
          </w:tcPr>
          <w:p>
            <w:pPr>
              <w:ind w:firstLine="0" w:firstLineChars="0"/>
            </w:pPr>
            <w:r>
              <w:rPr>
                <w:rFonts w:hint="eastAsia"/>
              </w:rPr>
              <w:t>以大震下构件的弹性内力进行配筋，材料强度采用标准值（极限值）；与之相邻的框架梁柱根据“强柱弱梁”原则进行设计；并验算节点。</w:t>
            </w:r>
          </w:p>
        </w:tc>
      </w:tr>
    </w:tbl>
    <w:p>
      <w:pPr>
        <w:ind w:firstLine="0" w:firstLineChars="0"/>
      </w:pPr>
    </w:p>
    <w:p>
      <w:pPr>
        <w:ind w:firstLine="0" w:firstLineChars="0"/>
      </w:pPr>
    </w:p>
    <w:p>
      <w:pPr>
        <w:pStyle w:val="4"/>
        <w:rPr>
          <w:color w:val="auto"/>
        </w:rPr>
      </w:pPr>
      <w:r>
        <w:rPr>
          <w:rFonts w:hint="eastAsia"/>
          <w:color w:val="auto"/>
        </w:rPr>
        <w:t>确定结构附加阻尼比</w:t>
      </w:r>
    </w:p>
    <w:p>
      <w:pPr>
        <w:ind w:firstLine="420"/>
      </w:pPr>
      <w:r>
        <w:rPr>
          <w:rFonts w:hint="eastAsia"/>
        </w:rPr>
        <w:t xml:space="preserve"> 在采用黏滞阻尼器的减震结构设计中，主要依据预期的水平向地震作用和位移控制要求等参数，估算出减震结构所需附加阻尼比(ξ</w:t>
      </w:r>
      <w:r>
        <w:rPr>
          <w:rFonts w:hint="eastAsia"/>
          <w:vertAlign w:val="subscript"/>
        </w:rPr>
        <w:t>eff</w:t>
      </w:r>
      <w:r>
        <w:rPr>
          <w:rFonts w:hint="eastAsia"/>
        </w:rPr>
        <w:t>)，据此选择合适的消能器型号，并配置在适当的位置。消能减震结构的总阻尼比应为结构阻尼比和消能部件附加给结构的有效阻尼比的总和。本导则采用结构设计软件试算的方式，首先估算出当结构达到目标位移时所需的总阻尼比，再用总阻尼比减去结构阻尼比，就是结构所需的附加阻尼比。</w:t>
      </w:r>
    </w:p>
    <w:p>
      <w:pPr>
        <w:pStyle w:val="4"/>
        <w:rPr>
          <w:color w:val="auto"/>
        </w:rPr>
      </w:pPr>
      <w:r>
        <w:rPr>
          <w:rFonts w:hint="eastAsia"/>
          <w:color w:val="auto"/>
        </w:rPr>
        <w:t>消能器的选择</w:t>
      </w:r>
    </w:p>
    <w:p>
      <w:pPr>
        <w:ind w:firstLine="420"/>
      </w:pPr>
      <w:r>
        <w:rPr>
          <w:rFonts w:hint="eastAsia"/>
        </w:rPr>
        <w:t>消能器的选择包括消能器类型和规格的选择。在概念设计阶段，消能器类型的选择应综合考虑结构类型、使用功能、周围环境、设防目标、消能器耗能机理、价格及安装、施工、维修费用等因素。</w:t>
      </w:r>
    </w:p>
    <w:p>
      <w:pPr>
        <w:pStyle w:val="4"/>
        <w:rPr>
          <w:color w:val="auto"/>
        </w:rPr>
      </w:pPr>
      <w:r>
        <w:rPr>
          <w:rFonts w:hint="eastAsia"/>
          <w:color w:val="auto"/>
        </w:rPr>
        <w:t>确定消能器型式、位置</w:t>
      </w:r>
      <w:r>
        <w:rPr>
          <w:color w:val="auto"/>
        </w:rPr>
        <w:t xml:space="preserve">  </w:t>
      </w:r>
    </w:p>
    <w:p>
      <w:pPr>
        <w:ind w:firstLine="210" w:firstLineChars="100"/>
      </w:pPr>
      <w:r>
        <w:rPr>
          <w:rFonts w:hint="eastAsia"/>
        </w:rPr>
        <w:t xml:space="preserve"> 1 根据消能器的特点和建筑使用功能选用合理的布置形式，相同的消能器安装形式不同，则消能器发挥的作用不同。</w:t>
      </w:r>
    </w:p>
    <w:p>
      <w:pPr>
        <w:ind w:firstLine="315" w:firstLineChars="150"/>
      </w:pPr>
      <w:r>
        <w:rPr>
          <w:rFonts w:hint="eastAsia"/>
        </w:rPr>
        <w:t>2 确定消能器安装位置</w:t>
      </w:r>
    </w:p>
    <w:p>
      <w:pPr>
        <w:ind w:firstLine="0" w:firstLineChars="0"/>
      </w:pPr>
      <w:r>
        <w:rPr>
          <w:rFonts w:hint="eastAsia"/>
        </w:rPr>
        <w:t xml:space="preserve">   消能部件的布置宜按结构两个主轴方向设置，并宜设置在结构相对变形或速度较大的部位，其数量和分布应通过综合分析合理确定，以为结构提供适当的附加阻尼，并保证消能器在地震作用下具有良好的耗能能力。</w:t>
      </w:r>
    </w:p>
    <w:p>
      <w:pPr>
        <w:ind w:firstLine="0" w:firstLineChars="0"/>
      </w:pPr>
      <w:r>
        <w:rPr>
          <w:rFonts w:hint="eastAsia"/>
        </w:rPr>
        <w:t xml:space="preserve">     消能部件在沿主体结构两个主轴方向布置时，应考虑结构的平面和立面上的规则性，尽量减少结构的扭转，为此，美国NEHRP2000规范要求设置消能器应逐层每一方向至少两个，以免产生扭转效应。当然，实际设计中也可以按结构本身的设计需要作出适合的调整。保证结构侧向刚度均匀变化、避免侧向刚度和承载力突变，对于竖向规则的结构，要尽量从下到上连续布置。</w:t>
      </w:r>
    </w:p>
    <w:p>
      <w:pPr>
        <w:ind w:firstLine="0" w:firstLineChars="0"/>
      </w:pPr>
      <w:r>
        <w:rPr>
          <w:rFonts w:hint="eastAsia"/>
        </w:rPr>
        <w:t xml:space="preserve">    消能器在楼层平面内的布置应遵循“均匀、分散、对称、周边”的原则。应尽量考虑不影响建筑功能、对结构计算有利的前提下，安装在便于检查、维修和更换的位置。设计文件中应注明消能器的使用环境、检查和维护要求。</w:t>
      </w:r>
    </w:p>
    <w:p>
      <w:pPr>
        <w:pStyle w:val="4"/>
        <w:rPr>
          <w:color w:val="auto"/>
        </w:rPr>
      </w:pPr>
      <w:r>
        <w:rPr>
          <w:rFonts w:hint="eastAsia"/>
          <w:color w:val="auto"/>
        </w:rPr>
        <w:t>确定消能器参数和数量</w:t>
      </w:r>
    </w:p>
    <w:p>
      <w:pPr>
        <w:ind w:firstLine="0" w:firstLineChars="0"/>
      </w:pPr>
      <w:r>
        <w:rPr>
          <w:rFonts w:hint="eastAsia"/>
        </w:rPr>
        <w:t xml:space="preserve">    1 黏滞消能器的阻尼力F与活塞运动速度v之间具有下列关系：F=C</w:t>
      </w:r>
      <m:oMath>
        <m:sSup>
          <m:sSupPr>
            <m:ctrlPr>
              <w:rPr>
                <w:rFonts w:ascii="Cambria Math" w:hAnsi="Cambria Math"/>
              </w:rPr>
            </m:ctrlPr>
          </m:sSupPr>
          <m:e>
            <m:r>
              <w:rPr>
                <w:rFonts w:ascii="Cambria Math" w:hAnsi="Cambria Math"/>
              </w:rPr>
              <m:t>V</m:t>
            </m:r>
            <m:ctrlPr>
              <w:rPr>
                <w:rFonts w:ascii="Cambria Math" w:hAnsi="Cambria Math"/>
              </w:rPr>
            </m:ctrlPr>
          </m:e>
          <m:sup>
            <m:r>
              <w:rPr>
                <w:rFonts w:ascii="Cambria Math" w:hAnsi="Cambria Math"/>
              </w:rPr>
              <m:t>α</m:t>
            </m:r>
            <m:ctrlPr>
              <w:rPr>
                <w:rFonts w:ascii="Cambria Math" w:hAnsi="Cambria Math"/>
              </w:rPr>
            </m:ctrlPr>
          </m:sup>
        </m:sSup>
      </m:oMath>
      <w:r>
        <w:rPr>
          <w:rFonts w:hint="eastAsia"/>
        </w:rPr>
        <w:t>，所以消能器参数主要涉及两个：阻尼系数C和阻尼指数</w:t>
      </w:r>
      <m:oMath>
        <m:r>
          <m:rPr>
            <m:sty m:val="p"/>
          </m:rPr>
          <w:rPr>
            <w:rFonts w:ascii="Cambria Math" w:hAnsi="Cambria Math"/>
          </w:rPr>
          <m:t xml:space="preserve">α </m:t>
        </m:r>
      </m:oMath>
      <w:r>
        <w:rPr>
          <w:rFonts w:hint="eastAsia"/>
        </w:rPr>
        <w:t>。</w:t>
      </w:r>
    </w:p>
    <w:p>
      <w:pPr>
        <w:ind w:firstLine="420"/>
      </w:pPr>
      <w:r>
        <w:rPr>
          <w:rFonts w:hint="eastAsia"/>
        </w:rPr>
        <w:t>2根据消能器的设计理论和分配理论，</w:t>
      </w:r>
      <w:r>
        <w:rPr>
          <w:rFonts w:hint="eastAsia" w:ascii="宋体" w:hAnsi="宋体" w:cs="宋体"/>
        </w:rPr>
        <w:t>线性黏滞消能器</w:t>
      </w:r>
      <w:r>
        <w:rPr>
          <w:rFonts w:hint="eastAsia"/>
        </w:rPr>
        <w:t>在确定了附加阻尼比</w:t>
      </w:r>
      <m:oMath>
        <m:sSub>
          <m:sSubPr>
            <m:ctrlPr>
              <w:rPr>
                <w:rFonts w:ascii="Cambria Math" w:hAnsi="Cambria Math"/>
              </w:rPr>
            </m:ctrlPr>
          </m:sSubPr>
          <m:e>
            <m:r>
              <w:rPr>
                <w:rFonts w:ascii="Cambria Math" w:hAnsi="Cambria Math"/>
              </w:rPr>
              <m:t>ε</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,选定阻尼指数</w:t>
      </w:r>
      <m:oMath>
        <m:r>
          <m:rPr>
            <m:sty m:val="p"/>
          </m:rPr>
          <w:rPr>
            <w:rFonts w:ascii="Cambria Math" w:hAnsi="Cambria Math"/>
          </w:rPr>
          <m:t>α</m:t>
        </m:r>
      </m:oMath>
      <w:r>
        <w:rPr>
          <w:rFonts w:hint="eastAsia"/>
        </w:rPr>
        <w:t>后，只要计算出消能器的总阻尼系数值，再用此值除以采用的阻尼系数C，就可以确定消能器的数量。采用非线性黏滞消能器的结构，理论上无法由传统阻尼比（</w:t>
      </w:r>
      <m:oMath>
        <m:r>
          <m:rPr>
            <m:sty m:val="p"/>
          </m:rPr>
          <w:rPr>
            <w:rFonts w:ascii="Cambria Math" w:hAnsi="Cambria Math"/>
          </w:rPr>
          <m:t>ε</m:t>
        </m:r>
      </m:oMath>
      <w:r>
        <w:rPr>
          <w:rFonts w:hint="eastAsia"/>
        </w:rPr>
        <w:t>=</w:t>
      </w:r>
      <m:oMath>
        <m:f>
          <m:fPr>
            <m:ctrlPr>
              <w:rPr>
                <w:rFonts w:ascii="Cambria Math" w:hAnsi="Cambria Math"/>
              </w:rPr>
            </m:ctrlPr>
          </m:fPr>
          <m:num>
            <m:r>
              <w:rPr>
                <w:rFonts w:ascii="Cambria Math" w:hAnsi="Cambria Math"/>
              </w:rPr>
              <m:t>C</m:t>
            </m:r>
            <m:ctrlPr>
              <w:rPr>
                <w:rFonts w:ascii="Cambria Math" w:hAnsi="Cambria Math"/>
              </w:rPr>
            </m:ctrlPr>
          </m:num>
          <m:den>
            <m:sSub>
              <m:sSubPr>
                <m:ctrlPr>
                  <w:rPr>
                    <w:rFonts w:ascii="Cambria Math" w:hAnsi="Cambria Math"/>
                    <w:i/>
                  </w:rPr>
                </m:ctrlPr>
              </m:sSubPr>
              <m:e>
                <m:r>
                  <w:rPr>
                    <w:rFonts w:ascii="Cambria Math" w:hAnsi="Cambria Math"/>
                  </w:rPr>
                  <m:t>C</m:t>
                </m:r>
                <m:ctrlPr>
                  <w:rPr>
                    <w:rFonts w:ascii="Cambria Math" w:hAnsi="Cambria Math"/>
                    <w:i/>
                  </w:rPr>
                </m:ctrlPr>
              </m:e>
              <m:sub>
                <m:r>
                  <w:rPr>
                    <w:rFonts w:ascii="Cambria Math" w:hAnsi="Cambria Math"/>
                  </w:rPr>
                  <m:t>cr</m:t>
                </m:r>
                <m:ctrlPr>
                  <w:rPr>
                    <w:rFonts w:ascii="Cambria Math" w:hAnsi="Cambria Math"/>
                    <w:i/>
                  </w:rPr>
                </m:ctrlPr>
              </m:sub>
            </m:sSub>
            <m:ctrlPr>
              <w:rPr>
                <w:rFonts w:ascii="Cambria Math" w:hAnsi="Cambria Math"/>
              </w:rPr>
            </m:ctrlPr>
          </m:den>
        </m:f>
      </m:oMath>
      <w:r>
        <w:rPr>
          <w:rFonts w:hint="eastAsia"/>
        </w:rPr>
        <w:t>）定义。NEHRP从能量法的原理出发，推导非线性黏滞消能器的等效阻尼比的计算公式，将</w:t>
      </w:r>
      <m:oMath>
        <m:sSub>
          <m:sSubPr>
            <m:ctrlPr>
              <w:rPr>
                <w:rFonts w:ascii="Cambria Math" w:hAnsi="Cambria Math"/>
              </w:rPr>
            </m:ctrlPr>
          </m:sSubPr>
          <m:e>
            <m:r>
              <w:rPr>
                <w:rFonts w:ascii="Cambria Math" w:hAnsi="Cambria Math"/>
              </w:rPr>
              <m:t>W</m:t>
            </m:r>
            <m:ctrlPr>
              <w:rPr>
                <w:rFonts w:ascii="Cambria Math" w:hAnsi="Cambria Math"/>
              </w:rPr>
            </m:ctrlPr>
          </m:e>
          <m:sub>
            <m:r>
              <m:rPr>
                <m:sty m:val="p"/>
              </m:rPr>
              <w:rPr>
                <w:rFonts w:ascii="Cambria Math" w:hAnsi="Cambria Math"/>
              </w:rPr>
              <m:t>cj</m:t>
            </m:r>
            <m:ctrlPr>
              <w:rPr>
                <w:rFonts w:ascii="Cambria Math" w:hAnsi="Cambria Math"/>
              </w:rPr>
            </m:ctrlPr>
          </m:sub>
        </m:sSub>
      </m:oMath>
      <w:r>
        <w:rPr>
          <w:rFonts w:hint="eastAsia"/>
        </w:rPr>
        <w:t>用非线性消能器在一个周期反应中所作的功替代，从而得到等效阻尼比。考虑一受正弦函数（u=</w:t>
      </w:r>
      <m:oMath>
        <m:sSub>
          <m:sSubPr>
            <m:ctrlPr>
              <w:rPr>
                <w:rFonts w:ascii="Cambria Math" w:hAnsi="Cambria Math"/>
              </w:rPr>
            </m:ctrlPr>
          </m:sSubPr>
          <m:e>
            <m:r>
              <w:rPr>
                <w:rFonts w:ascii="Cambria Math" w:hAnsi="Cambria Math"/>
              </w:rPr>
              <m:t>u</m:t>
            </m:r>
            <m:ctrlPr>
              <w:rPr>
                <w:rFonts w:ascii="Cambria Math" w:hAnsi="Cambria Math"/>
              </w:rPr>
            </m:ctrlPr>
          </m:e>
          <m:sub>
            <m:r>
              <w:rPr>
                <w:rFonts w:ascii="Cambria Math" w:hAnsi="Cambria Math"/>
              </w:rPr>
              <m:t>0</m:t>
            </m:r>
            <m:ctrlPr>
              <w:rPr>
                <w:rFonts w:ascii="Cambria Math" w:hAnsi="Cambria Math"/>
              </w:rPr>
            </m:ctrlPr>
          </m:sub>
        </m:sSub>
        <m:r>
          <m:rPr>
            <m:sty m:val="p"/>
          </m:rPr>
          <w:rPr>
            <w:rFonts w:ascii="Cambria Math" w:hAnsi="Cambria Math"/>
          </w:rPr>
          <m:t>sinω</m:t>
        </m:r>
      </m:oMath>
      <w:r>
        <w:rPr>
          <w:rFonts w:hint="eastAsia"/>
        </w:rPr>
        <w:t>t）的多自由度体系，非线性消能器做功为：</w:t>
      </w:r>
    </w:p>
    <w:p>
      <w:pPr>
        <w:ind w:firstLine="0" w:firstLineChars="0"/>
      </w:pPr>
      <w:r>
        <w:drawing>
          <wp:anchor distT="0" distB="0" distL="114300" distR="114300" simplePos="0" relativeHeight="251659264" behindDoc="0" locked="0" layoutInCell="1" allowOverlap="1">
            <wp:simplePos x="0" y="0"/>
            <wp:positionH relativeFrom="column">
              <wp:posOffset>1398905</wp:posOffset>
            </wp:positionH>
            <wp:positionV relativeFrom="paragraph">
              <wp:posOffset>74930</wp:posOffset>
            </wp:positionV>
            <wp:extent cx="2190115" cy="473710"/>
            <wp:effectExtent l="0" t="0" r="0" b="0"/>
            <wp:wrapNone/>
            <wp:docPr id="1" name="对象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对象 2"/>
                    <pic:cNvPicPr>
                      <a:picLocks noChangeAspect="1"/>
                    </pic:cNvPicPr>
                  </pic:nvPicPr>
                  <pic:blipFill>
                    <a:blip r:embed="rId12" cstate="print"/>
                    <a:stretch>
                      <a:fillRect/>
                    </a:stretch>
                  </pic:blipFill>
                  <pic:spPr>
                    <a:xfrm>
                      <a:off x="0" y="0"/>
                      <a:ext cx="2190115" cy="473710"/>
                    </a:xfrm>
                    <a:prstGeom prst="rect">
                      <a:avLst/>
                    </a:prstGeom>
                    <a:noFill/>
                    <a:ln w="9525">
                      <a:noFill/>
                    </a:ln>
                  </pic:spPr>
                </pic:pic>
              </a:graphicData>
            </a:graphic>
          </wp:anchor>
        </w:drawing>
      </w:r>
    </w:p>
    <w:p>
      <w:pPr>
        <w:ind w:firstLine="0" w:firstLineChars="0"/>
        <w:jc w:val="right"/>
      </w:pPr>
      <w:r>
        <w:rPr>
          <w:rFonts w:hint="eastAsia"/>
        </w:rPr>
        <w:t>（5.1.6-1）</w:t>
      </w:r>
    </w:p>
    <w:p>
      <w:pPr>
        <w:ind w:firstLine="0" w:firstLineChars="0"/>
      </w:pPr>
    </w:p>
    <w:p>
      <w:pPr>
        <w:ind w:firstLine="0" w:firstLineChars="0"/>
      </w:pPr>
      <w:r>
        <w:rPr>
          <w:rFonts w:hint="eastAsia"/>
        </w:rPr>
        <w:t>式中</w:t>
      </w:r>
    </w:p>
    <w:p>
      <w:pPr>
        <w:ind w:firstLine="0" w:firstLineChars="0"/>
        <w:jc w:val="right"/>
      </w:pPr>
      <w:r>
        <w:drawing>
          <wp:anchor distT="0" distB="0" distL="114300" distR="114300" simplePos="0" relativeHeight="251660288" behindDoc="0" locked="0" layoutInCell="1" allowOverlap="1">
            <wp:simplePos x="0" y="0"/>
            <wp:positionH relativeFrom="column">
              <wp:posOffset>1589405</wp:posOffset>
            </wp:positionH>
            <wp:positionV relativeFrom="paragraph">
              <wp:posOffset>-95250</wp:posOffset>
            </wp:positionV>
            <wp:extent cx="2124710" cy="478790"/>
            <wp:effectExtent l="0" t="0" r="0" b="16510"/>
            <wp:wrapNone/>
            <wp:docPr id="2" name="对象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对象 5"/>
                    <pic:cNvPicPr>
                      <a:picLocks noChangeAspect="1"/>
                    </pic:cNvPicPr>
                  </pic:nvPicPr>
                  <pic:blipFill>
                    <a:blip r:embed="rId13" cstate="print"/>
                    <a:stretch>
                      <a:fillRect/>
                    </a:stretch>
                  </pic:blipFill>
                  <pic:spPr>
                    <a:xfrm>
                      <a:off x="0" y="0"/>
                      <a:ext cx="2124710" cy="478790"/>
                    </a:xfrm>
                    <a:prstGeom prst="rect">
                      <a:avLst/>
                    </a:prstGeom>
                    <a:noFill/>
                    <a:ln w="9525">
                      <a:noFill/>
                    </a:ln>
                  </pic:spPr>
                </pic:pic>
              </a:graphicData>
            </a:graphic>
          </wp:anchor>
        </w:drawing>
      </w:r>
      <w:r>
        <w:tab/>
      </w:r>
      <w:r>
        <w:rPr>
          <w:rFonts w:hint="eastAsia"/>
        </w:rPr>
        <w:t>（5.1.6-2）</w:t>
      </w:r>
    </w:p>
    <w:p>
      <w:pPr>
        <w:ind w:firstLine="0" w:firstLineChars="0"/>
      </w:pPr>
    </w:p>
    <w:p>
      <w:pPr>
        <w:ind w:firstLine="0" w:firstLineChars="0"/>
      </w:pPr>
      <w:r>
        <w:rPr>
          <w:rFonts w:hint="eastAsia"/>
        </w:rPr>
        <w:t>式中</w:t>
      </w:r>
      <w:r>
        <w:rPr>
          <w:rFonts w:hint="eastAsia" w:ascii="宋体" w:hAnsi="宋体"/>
        </w:rPr>
        <w:t>Г为伽马函数</w:t>
      </w:r>
    </w:p>
    <w:p>
      <w:pPr>
        <w:ind w:firstLine="0" w:firstLineChars="0"/>
      </w:pPr>
      <w:r>
        <w:rPr>
          <w:rFonts w:hint="eastAsia"/>
        </w:rPr>
        <w:t>若仅考虑第一模态，消能减震结构的弹性应变能为：</w:t>
      </w:r>
    </w:p>
    <w:p>
      <w:pPr>
        <w:ind w:firstLine="0" w:firstLineChars="0"/>
      </w:pPr>
      <w:r>
        <w:drawing>
          <wp:anchor distT="0" distB="0" distL="114300" distR="114300" simplePos="0" relativeHeight="251661312" behindDoc="0" locked="0" layoutInCell="1" allowOverlap="1">
            <wp:simplePos x="0" y="0"/>
            <wp:positionH relativeFrom="column">
              <wp:posOffset>1348105</wp:posOffset>
            </wp:positionH>
            <wp:positionV relativeFrom="paragraph">
              <wp:posOffset>46355</wp:posOffset>
            </wp:positionV>
            <wp:extent cx="2687955" cy="500380"/>
            <wp:effectExtent l="0" t="0" r="0" b="0"/>
            <wp:wrapNone/>
            <wp:docPr id="3" name="对象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对象 7"/>
                    <pic:cNvPicPr>
                      <a:picLocks noChangeAspect="1"/>
                    </pic:cNvPicPr>
                  </pic:nvPicPr>
                  <pic:blipFill>
                    <a:blip r:embed="rId14" cstate="print"/>
                    <a:stretch>
                      <a:fillRect/>
                    </a:stretch>
                  </pic:blipFill>
                  <pic:spPr>
                    <a:xfrm>
                      <a:off x="0" y="0"/>
                      <a:ext cx="2687955" cy="500380"/>
                    </a:xfrm>
                    <a:prstGeom prst="rect">
                      <a:avLst/>
                    </a:prstGeom>
                    <a:noFill/>
                    <a:ln w="9525">
                      <a:noFill/>
                    </a:ln>
                  </pic:spPr>
                </pic:pic>
              </a:graphicData>
            </a:graphic>
          </wp:anchor>
        </w:drawing>
      </w:r>
    </w:p>
    <w:p>
      <w:pPr>
        <w:ind w:firstLine="0" w:firstLineChars="0"/>
        <w:jc w:val="right"/>
      </w:pPr>
      <w:r>
        <w:rPr>
          <w:rFonts w:hint="eastAsia"/>
        </w:rPr>
        <w:t>（5.1.6-3）</w:t>
      </w:r>
    </w:p>
    <w:p>
      <w:pPr>
        <w:ind w:right="420" w:firstLine="0" w:firstLineChars="0"/>
      </w:pPr>
    </w:p>
    <w:p>
      <w:pPr>
        <w:ind w:right="420" w:firstLine="0" w:firstLineChars="0"/>
      </w:pPr>
      <w:r>
        <w:drawing>
          <wp:anchor distT="0" distB="0" distL="114300" distR="114300" simplePos="0" relativeHeight="251662336" behindDoc="0" locked="0" layoutInCell="1" allowOverlap="1">
            <wp:simplePos x="0" y="0"/>
            <wp:positionH relativeFrom="column">
              <wp:posOffset>1803400</wp:posOffset>
            </wp:positionH>
            <wp:positionV relativeFrom="paragraph">
              <wp:posOffset>11430</wp:posOffset>
            </wp:positionV>
            <wp:extent cx="1601470" cy="474980"/>
            <wp:effectExtent l="0" t="0" r="0" b="0"/>
            <wp:wrapNone/>
            <wp:docPr id="4" name="对象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对象 9"/>
                    <pic:cNvPicPr>
                      <a:picLocks noChangeAspect="1"/>
                    </pic:cNvPicPr>
                  </pic:nvPicPr>
                  <pic:blipFill>
                    <a:blip r:embed="rId15" cstate="print"/>
                    <a:stretch>
                      <a:fillRect/>
                    </a:stretch>
                  </pic:blipFill>
                  <pic:spPr>
                    <a:xfrm>
                      <a:off x="0" y="0"/>
                      <a:ext cx="1601470" cy="474980"/>
                    </a:xfrm>
                    <a:prstGeom prst="rect">
                      <a:avLst/>
                    </a:prstGeom>
                    <a:noFill/>
                    <a:ln w="9525">
                      <a:noFill/>
                    </a:ln>
                  </pic:spPr>
                </pic:pic>
              </a:graphicData>
            </a:graphic>
          </wp:anchor>
        </w:drawing>
      </w:r>
    </w:p>
    <w:p>
      <w:pPr>
        <w:tabs>
          <w:tab w:val="left" w:pos="7305"/>
        </w:tabs>
        <w:ind w:firstLine="0" w:firstLineChars="0"/>
      </w:pPr>
      <w:r>
        <w:tab/>
      </w:r>
      <w:r>
        <w:rPr>
          <w:rFonts w:hint="eastAsia"/>
        </w:rPr>
        <w:t>（5.1.6-4）</w:t>
      </w:r>
    </w:p>
    <w:p>
      <w:pPr>
        <w:ind w:firstLine="0" w:firstLineChars="0"/>
      </w:pPr>
    </w:p>
    <w:p>
      <w:pPr>
        <w:ind w:firstLine="0" w:firstLineChars="0"/>
      </w:pPr>
    </w:p>
    <w:p>
      <w:pPr>
        <w:ind w:right="-52" w:firstLine="0" w:firstLineChars="0"/>
      </w:pPr>
      <w:r>
        <w:drawing>
          <wp:anchor distT="0" distB="0" distL="114300" distR="114300" simplePos="0" relativeHeight="251663360" behindDoc="0" locked="0" layoutInCell="1" allowOverlap="1">
            <wp:simplePos x="0" y="0"/>
            <wp:positionH relativeFrom="column">
              <wp:posOffset>1473200</wp:posOffset>
            </wp:positionH>
            <wp:positionV relativeFrom="paragraph">
              <wp:posOffset>405130</wp:posOffset>
            </wp:positionV>
            <wp:extent cx="2018665" cy="852170"/>
            <wp:effectExtent l="0" t="0" r="0" b="0"/>
            <wp:wrapNone/>
            <wp:docPr id="5" name="对象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对象 12"/>
                    <pic:cNvPicPr>
                      <a:picLocks noChangeAspect="1"/>
                    </pic:cNvPicPr>
                  </pic:nvPicPr>
                  <pic:blipFill>
                    <a:blip r:embed="rId16" cstate="print"/>
                    <a:stretch>
                      <a:fillRect/>
                    </a:stretch>
                  </pic:blipFill>
                  <pic:spPr>
                    <a:xfrm>
                      <a:off x="0" y="0"/>
                      <a:ext cx="2018665" cy="852170"/>
                    </a:xfrm>
                    <a:prstGeom prst="rect">
                      <a:avLst/>
                    </a:prstGeom>
                    <a:noFill/>
                    <a:ln w="9525">
                      <a:noFill/>
                    </a:ln>
                  </pic:spPr>
                </pic:pic>
              </a:graphicData>
            </a:graphic>
          </wp:anchor>
        </w:drawing>
      </w:r>
      <w:r>
        <w:rPr>
          <w:rFonts w:hint="eastAsia"/>
        </w:rPr>
        <w:t>将上面（5.1.5-1）、（5.1.5-2）、（5.1.5-3）式代入式（5.1.5-4），可得多自由度非线性黏滞消能器所贡献的黏滞阻尼比：</w:t>
      </w:r>
    </w:p>
    <w:p>
      <w:pPr>
        <w:ind w:firstLine="0" w:firstLineChars="0"/>
      </w:pPr>
    </w:p>
    <w:p>
      <w:pPr>
        <w:tabs>
          <w:tab w:val="left" w:pos="7275"/>
        </w:tabs>
        <w:ind w:firstLine="0" w:firstLineChars="0"/>
        <w:jc w:val="right"/>
      </w:pPr>
      <w:r>
        <w:rPr>
          <w:rFonts w:hint="eastAsia"/>
        </w:rPr>
        <w:t>（5.1.6-5）</w:t>
      </w:r>
    </w:p>
    <w:p>
      <w:pPr>
        <w:tabs>
          <w:tab w:val="left" w:pos="7275"/>
        </w:tabs>
        <w:ind w:firstLine="0" w:firstLineChars="0"/>
        <w:jc w:val="right"/>
      </w:pPr>
    </w:p>
    <w:p>
      <w:pPr>
        <w:tabs>
          <w:tab w:val="left" w:pos="7275"/>
        </w:tabs>
        <w:ind w:firstLine="0" w:firstLineChars="0"/>
        <w:jc w:val="right"/>
      </w:pPr>
    </w:p>
    <w:p>
      <w:pPr>
        <w:ind w:firstLine="0" w:firstLineChars="0"/>
      </w:pPr>
    </w:p>
    <w:p>
      <w:pPr>
        <w:ind w:firstLine="0" w:firstLineChars="0"/>
      </w:pPr>
      <w:r>
        <w:rPr>
          <w:rFonts w:hint="eastAsia"/>
        </w:rPr>
        <w:t>因此根据式（5.1.5-5）结构所需的总阻尼系数</w:t>
      </w:r>
      <m:oMath>
        <m:sSub>
          <m:sSubPr>
            <m:ctrlPr>
              <w:rPr>
                <w:rFonts w:ascii="Cambria Math" w:hAnsi="Cambria Math"/>
              </w:rPr>
            </m:ctrlPr>
          </m:sSubPr>
          <m:e>
            <m:r>
              <w:rPr>
                <w:rFonts w:ascii="Cambria Math" w:hAnsi="Cambria Math"/>
              </w:rPr>
              <m:t>C</m:t>
            </m:r>
            <m:ctrlPr>
              <w:rPr>
                <w:rFonts w:ascii="Cambria Math" w:hAnsi="Cambria Math"/>
              </w:rPr>
            </m:ctrlPr>
          </m:e>
          <m:sub>
            <m:r>
              <m:rPr>
                <m:sty m:val="p"/>
              </m:rPr>
              <w:rPr>
                <w:rFonts w:ascii="Cambria Math" w:hAnsi="Cambria Math"/>
              </w:rPr>
              <m:t>总</m:t>
            </m:r>
            <m:ctrlPr>
              <w:rPr>
                <w:rFonts w:ascii="Cambria Math" w:hAnsi="Cambria Math"/>
              </w:rPr>
            </m:ctrlPr>
          </m:sub>
        </m:sSub>
      </m:oMath>
      <w:r>
        <w:rPr>
          <w:rFonts w:hint="eastAsia"/>
        </w:rPr>
        <w:t>为：</w:t>
      </w:r>
    </w:p>
    <w:p>
      <w:pPr>
        <w:tabs>
          <w:tab w:val="left" w:pos="7170"/>
        </w:tabs>
        <w:ind w:firstLine="0" w:firstLineChars="0"/>
      </w:pPr>
      <m:oMath>
        <m:sSub>
          <m:sSubPr>
            <m:ctrlPr>
              <w:rPr>
                <w:rFonts w:ascii="Cambria Math" w:hAnsi="Cambria Math"/>
              </w:rPr>
            </m:ctrlPr>
          </m:sSubPr>
          <m:e>
            <m:r>
              <w:rPr>
                <w:rFonts w:ascii="Cambria Math" w:hAnsi="Cambria Math"/>
              </w:rPr>
              <m:t>C</m:t>
            </m:r>
            <m:ctrlPr>
              <w:rPr>
                <w:rFonts w:ascii="Cambria Math" w:hAnsi="Cambria Math"/>
              </w:rPr>
            </m:ctrlPr>
          </m:e>
          <m:sub>
            <m:r>
              <w:rPr>
                <w:rFonts w:ascii="Cambria Math" w:hAnsi="Cambria Math"/>
              </w:rPr>
              <m:t>j</m:t>
            </m:r>
            <m:ctrlPr>
              <w:rPr>
                <w:rFonts w:ascii="Cambria Math" w:hAnsi="Cambria Math"/>
              </w:rPr>
            </m:ctrlPr>
          </m:sub>
        </m:sSub>
        <m:r>
          <w:rPr>
            <w:rFonts w:ascii="Cambria Math" w:hAnsi="Cambria Math"/>
          </w:rPr>
          <m:t>=</m:t>
        </m:r>
        <m:f>
          <m:fPr>
            <m:ctrlPr>
              <w:rPr>
                <w:rFonts w:ascii="Cambria Math" w:hAnsi="Cambria Math"/>
              </w:rPr>
            </m:ctrlPr>
          </m:fPr>
          <m:num>
            <m:r>
              <w:rPr>
                <w:rFonts w:ascii="Cambria Math" w:hAnsi="Cambria Math"/>
              </w:rPr>
              <m:t>2π</m:t>
            </m:r>
            <m:sSub>
              <m:sSubPr>
                <m:ctrlPr>
                  <w:rPr>
                    <w:rFonts w:ascii="Cambria Math" w:hAnsi="Cambria Math"/>
                    <w:i/>
                  </w:rPr>
                </m:ctrlPr>
              </m:sSubPr>
              <m:e>
                <m:r>
                  <w:rPr>
                    <w:rFonts w:ascii="Cambria Math" w:hAnsi="Cambria Math"/>
                  </w:rPr>
                  <m:t>ε</m:t>
                </m:r>
                <m:ctrlPr>
                  <w:rPr>
                    <w:rFonts w:ascii="Cambria Math" w:hAnsi="Cambria Math"/>
                    <w:i/>
                  </w:rPr>
                </m:ctrlPr>
              </m:e>
              <m:sub>
                <m:r>
                  <w:rPr>
                    <w:rFonts w:ascii="Cambria Math" w:hAnsi="Cambria Math"/>
                  </w:rPr>
                  <m:t>d</m:t>
                </m:r>
                <m:ctrlPr>
                  <w:rPr>
                    <w:rFonts w:ascii="Cambria Math" w:hAnsi="Cambria Math"/>
                    <w:i/>
                  </w:rPr>
                </m:ctrlPr>
              </m:sub>
            </m:sSub>
            <m:sSup>
              <m:sSupPr>
                <m:ctrlPr>
                  <w:rPr>
                    <w:rFonts w:ascii="Cambria Math" w:hAnsi="Cambria Math"/>
                    <w:i/>
                  </w:rPr>
                </m:ctrlPr>
              </m:sSupPr>
              <m:e>
                <m:r>
                  <w:rPr>
                    <w:rFonts w:ascii="Cambria Math" w:hAnsi="Cambria Math"/>
                  </w:rPr>
                  <m:t>A</m:t>
                </m:r>
                <m:ctrlPr>
                  <w:rPr>
                    <w:rFonts w:ascii="Cambria Math" w:hAnsi="Cambria Math"/>
                    <w:i/>
                  </w:rPr>
                </m:ctrlPr>
              </m:e>
              <m:sup>
                <m:r>
                  <w:rPr>
                    <w:rFonts w:ascii="Cambria Math" w:hAnsi="Cambria Math"/>
                  </w:rPr>
                  <m:t>1-α</m:t>
                </m:r>
                <m:ctrlPr>
                  <w:rPr>
                    <w:rFonts w:ascii="Cambria Math" w:hAnsi="Cambria Math"/>
                    <w:i/>
                  </w:rPr>
                </m:ctrlPr>
              </m:sup>
            </m:sSup>
            <m:sSup>
              <m:sSupPr>
                <m:ctrlPr>
                  <w:rPr>
                    <w:rFonts w:ascii="Cambria Math" w:hAnsi="Cambria Math"/>
                    <w:i/>
                  </w:rPr>
                </m:ctrlPr>
              </m:sSupPr>
              <m:e>
                <m:r>
                  <w:rPr>
                    <w:rFonts w:ascii="Cambria Math" w:hAnsi="Cambria Math"/>
                  </w:rPr>
                  <m:t>W</m:t>
                </m:r>
                <m:ctrlPr>
                  <w:rPr>
                    <w:rFonts w:ascii="Cambria Math" w:hAnsi="Cambria Math"/>
                    <w:i/>
                  </w:rPr>
                </m:ctrlPr>
              </m:e>
              <m:sup>
                <m:r>
                  <w:rPr>
                    <w:rFonts w:ascii="Cambria Math" w:hAnsi="Cambria Math"/>
                  </w:rPr>
                  <m:t>2-α</m:t>
                </m:r>
                <m:ctrlPr>
                  <w:rPr>
                    <w:rFonts w:ascii="Cambria Math" w:hAnsi="Cambria Math"/>
                    <w:i/>
                  </w:rPr>
                </m:ctrlPr>
              </m:sup>
            </m:sSup>
            <m:nary>
              <m:naryPr>
                <m:chr m:val="∑"/>
                <m:limLoc m:val="undOvr"/>
                <m:supHide m:val="1"/>
                <m:ctrlPr>
                  <w:rPr>
                    <w:rFonts w:ascii="Cambria Math" w:hAnsi="Cambria Math"/>
                    <w:i/>
                  </w:rPr>
                </m:ctrlPr>
              </m:naryPr>
              <m:sub>
                <m:r>
                  <w:rPr>
                    <w:rFonts w:ascii="Cambria Math" w:hAnsi="Cambria Math"/>
                  </w:rPr>
                  <m:t>i</m:t>
                </m:r>
                <m:ctrlPr>
                  <w:rPr>
                    <w:rFonts w:ascii="Cambria Math" w:hAnsi="Cambria Math"/>
                    <w:i/>
                  </w:rPr>
                </m:ctrlPr>
              </m:sub>
              <m:sup>
                <m:ctrlPr>
                  <w:rPr>
                    <w:rFonts w:ascii="Cambria Math" w:hAnsi="Cambria Math"/>
                    <w:i/>
                  </w:rPr>
                </m:ctrlPr>
              </m:sup>
              <m:e>
                <m:sSub>
                  <m:sSubPr>
                    <m:ctrlPr>
                      <w:rPr>
                        <w:rFonts w:ascii="Cambria Math" w:hAnsi="Cambria Math"/>
                        <w:i/>
                      </w:rPr>
                    </m:ctrlPr>
                  </m:sSubPr>
                  <m:e>
                    <m:r>
                      <w:rPr>
                        <w:rFonts w:ascii="Cambria Math" w:hAnsi="Cambria Math"/>
                      </w:rPr>
                      <m:t>m</m:t>
                    </m:r>
                    <m:ctrlPr>
                      <w:rPr>
                        <w:rFonts w:ascii="Cambria Math" w:hAnsi="Cambria Math"/>
                        <w:i/>
                      </w:rPr>
                    </m:ctrlPr>
                  </m:e>
                  <m:sub>
                    <m:r>
                      <w:rPr>
                        <w:rFonts w:ascii="Cambria Math" w:hAnsi="Cambria Math"/>
                      </w:rPr>
                      <m:t>i</m:t>
                    </m:r>
                    <m:ctrlPr>
                      <w:rPr>
                        <w:rFonts w:ascii="Cambria Math" w:hAnsi="Cambria Math"/>
                        <w:i/>
                      </w:rPr>
                    </m:ctrlPr>
                  </m:sub>
                </m:sSub>
                <m:sSubSup>
                  <m:sSubSupPr>
                    <m:ctrlPr>
                      <w:rPr>
                        <w:rFonts w:ascii="Cambria Math" w:hAnsi="Cambria Math"/>
                        <w:i/>
                      </w:rPr>
                    </m:ctrlPr>
                  </m:sSubSupPr>
                  <m:e>
                    <m:r>
                      <w:rPr>
                        <w:rFonts w:ascii="Cambria Math" w:hAnsi="Cambria Math"/>
                      </w:rPr>
                      <m:t>∅</m:t>
                    </m:r>
                    <m:ctrlPr>
                      <w:rPr>
                        <w:rFonts w:ascii="Cambria Math" w:hAnsi="Cambria Math"/>
                        <w:i/>
                      </w:rPr>
                    </m:ctrlPr>
                  </m:e>
                  <m:sub>
                    <m:r>
                      <w:rPr>
                        <w:rFonts w:ascii="Cambria Math" w:hAnsi="Cambria Math"/>
                      </w:rPr>
                      <m:t>i</m:t>
                    </m:r>
                    <m:ctrlPr>
                      <w:rPr>
                        <w:rFonts w:ascii="Cambria Math" w:hAnsi="Cambria Math"/>
                        <w:i/>
                      </w:rPr>
                    </m:ctrlPr>
                  </m:sub>
                  <m:sup>
                    <m:r>
                      <w:rPr>
                        <w:rFonts w:ascii="Cambria Math" w:hAnsi="Cambria Math"/>
                      </w:rPr>
                      <m:t>2</m:t>
                    </m:r>
                    <m:ctrlPr>
                      <w:rPr>
                        <w:rFonts w:ascii="Cambria Math" w:hAnsi="Cambria Math"/>
                        <w:i/>
                      </w:rPr>
                    </m:ctrlPr>
                  </m:sup>
                </m:sSubSup>
                <m:ctrlPr>
                  <w:rPr>
                    <w:rFonts w:ascii="Cambria Math" w:hAnsi="Cambria Math"/>
                    <w:i/>
                  </w:rPr>
                </m:ctrlPr>
              </m:e>
            </m:nary>
            <m:ctrlPr>
              <w:rPr>
                <w:rFonts w:ascii="Cambria Math" w:hAnsi="Cambria Math"/>
              </w:rPr>
            </m:ctrlPr>
          </m:num>
          <m:den>
            <m:nary>
              <m:naryPr>
                <m:chr m:val="∑"/>
                <m:limLoc m:val="undOvr"/>
                <m:supHide m:val="1"/>
                <m:ctrlPr>
                  <w:rPr>
                    <w:rFonts w:ascii="Cambria Math" w:hAnsi="Cambria Math"/>
                    <w:i/>
                  </w:rPr>
                </m:ctrlPr>
              </m:naryPr>
              <m:sub>
                <m:r>
                  <w:rPr>
                    <w:rFonts w:ascii="Cambria Math" w:hAnsi="Cambria Math"/>
                  </w:rPr>
                  <m:t>j</m:t>
                </m:r>
                <m:ctrlPr>
                  <w:rPr>
                    <w:rFonts w:ascii="Cambria Math" w:hAnsi="Cambria Math"/>
                    <w:i/>
                  </w:rPr>
                </m:ctrlPr>
              </m:sub>
              <m:sup>
                <m:ctrlPr>
                  <w:rPr>
                    <w:rFonts w:ascii="Cambria Math" w:hAnsi="Cambria Math"/>
                    <w:i/>
                  </w:rPr>
                </m:ctrlPr>
              </m:sup>
              <m:e>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j</m:t>
                    </m:r>
                    <m:ctrlPr>
                      <w:rPr>
                        <w:rFonts w:ascii="Cambria Math" w:hAnsi="Cambria Math"/>
                        <w:i/>
                      </w:rPr>
                    </m:ctrlPr>
                  </m:sub>
                </m:sSub>
                <m:ctrlPr>
                  <w:rPr>
                    <w:rFonts w:ascii="Cambria Math" w:hAnsi="Cambria Math"/>
                    <w:i/>
                  </w:rPr>
                </m:ctrlPr>
              </m:e>
            </m:nary>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m:t>
                    </m:r>
                    <m:ctrlPr>
                      <w:rPr>
                        <w:rFonts w:ascii="Cambria Math" w:hAnsi="Cambria Math"/>
                        <w:i/>
                      </w:rPr>
                    </m:ctrlPr>
                  </m:e>
                  <m:sub>
                    <m:r>
                      <w:rPr>
                        <w:rFonts w:ascii="Cambria Math" w:hAnsi="Cambria Math"/>
                      </w:rPr>
                      <m:t>rj</m:t>
                    </m:r>
                    <m:ctrlPr>
                      <w:rPr>
                        <w:rFonts w:ascii="Cambria Math" w:hAnsi="Cambria Math"/>
                        <w:i/>
                      </w:rPr>
                    </m:ctrlPr>
                  </m:sub>
                </m:sSub>
                <m:r>
                  <w:rPr>
                    <w:rFonts w:ascii="Cambria Math" w:hAnsi="Cambria Math"/>
                  </w:rPr>
                  <m:t>cos</m:t>
                </m:r>
                <m:sSub>
                  <m:sSubPr>
                    <m:ctrlPr>
                      <w:rPr>
                        <w:rFonts w:ascii="Cambria Math" w:hAnsi="Cambria Math"/>
                        <w:i/>
                      </w:rPr>
                    </m:ctrlPr>
                  </m:sSubPr>
                  <m:e>
                    <m:r>
                      <w:rPr>
                        <w:rFonts w:ascii="Cambria Math" w:hAnsi="Cambria Math"/>
                      </w:rPr>
                      <m:t>θ</m:t>
                    </m:r>
                    <m:ctrlPr>
                      <w:rPr>
                        <w:rFonts w:ascii="Cambria Math" w:hAnsi="Cambria Math"/>
                        <w:i/>
                      </w:rPr>
                    </m:ctrlPr>
                  </m:e>
                  <m:sub>
                    <m:r>
                      <w:rPr>
                        <w:rFonts w:ascii="Cambria Math" w:hAnsi="Cambria Math"/>
                      </w:rPr>
                      <m:t>j</m:t>
                    </m:r>
                    <m:ctrlPr>
                      <w:rPr>
                        <w:rFonts w:ascii="Cambria Math" w:hAnsi="Cambria Math"/>
                        <w:i/>
                      </w:rPr>
                    </m:ctrlPr>
                  </m:sub>
                </m:sSub>
                <m:r>
                  <w:rPr>
                    <w:rFonts w:ascii="Cambria Math" w:hAnsi="Cambria Math"/>
                  </w:rPr>
                  <m:t>)</m:t>
                </m:r>
                <m:ctrlPr>
                  <w:rPr>
                    <w:rFonts w:ascii="Cambria Math" w:hAnsi="Cambria Math"/>
                    <w:i/>
                  </w:rPr>
                </m:ctrlPr>
              </m:e>
              <m:sup>
                <m:r>
                  <w:rPr>
                    <w:rFonts w:ascii="Cambria Math" w:hAnsi="Cambria Math"/>
                  </w:rPr>
                  <m:t>1+α</m:t>
                </m:r>
                <m:ctrlPr>
                  <w:rPr>
                    <w:rFonts w:ascii="Cambria Math" w:hAnsi="Cambria Math"/>
                    <w:i/>
                  </w:rPr>
                </m:ctrlPr>
              </m:sup>
            </m:sSup>
            <m:ctrlPr>
              <w:rPr>
                <w:rFonts w:ascii="Cambria Math" w:hAnsi="Cambria Math"/>
              </w:rPr>
            </m:ctrlPr>
          </m:den>
        </m:f>
      </m:oMath>
      <w:r>
        <w:rPr>
          <w:rFonts w:hint="eastAsia"/>
        </w:rPr>
        <w:t xml:space="preserve">                                                 （5.1.6-6）</w:t>
      </w:r>
    </w:p>
    <w:p>
      <w:pPr>
        <w:ind w:firstLine="0" w:firstLineChars="0"/>
      </w:pPr>
    </w:p>
    <w:p>
      <w:pPr>
        <w:tabs>
          <w:tab w:val="left" w:pos="7170"/>
        </w:tabs>
        <w:ind w:firstLine="0" w:firstLineChars="0"/>
      </w:pPr>
      <w:r>
        <w:rPr>
          <w:rFonts w:hint="eastAsia"/>
        </w:rPr>
        <w:t>所以</w:t>
      </w:r>
      <m:oMath>
        <m:sSub>
          <m:sSubPr>
            <m:ctrlPr>
              <w:rPr>
                <w:rFonts w:ascii="Cambria Math" w:hAnsi="Cambria Math"/>
              </w:rPr>
            </m:ctrlPr>
          </m:sSubPr>
          <m:e>
            <m:r>
              <w:rPr>
                <w:rFonts w:ascii="Cambria Math" w:hAnsi="Cambria Math"/>
              </w:rPr>
              <m:t>C</m:t>
            </m:r>
            <m:ctrlPr>
              <w:rPr>
                <w:rFonts w:ascii="Cambria Math" w:hAnsi="Cambria Math"/>
              </w:rPr>
            </m:ctrlPr>
          </m:e>
          <m:sub>
            <m:r>
              <m:rPr>
                <m:sty m:val="p"/>
              </m:rPr>
              <w:rPr>
                <w:rFonts w:ascii="Cambria Math" w:hAnsi="Cambria Math"/>
              </w:rPr>
              <m:t>总</m:t>
            </m:r>
            <m:ctrlPr>
              <w:rPr>
                <w:rFonts w:ascii="Cambria Math" w:hAnsi="Cambria Math"/>
              </w:rPr>
            </m:ctrlPr>
          </m:sub>
        </m:sSub>
      </m:oMath>
      <w:r>
        <w:rPr>
          <w:rFonts w:hint="eastAsia"/>
        </w:rPr>
        <w:t>=</w:t>
      </w:r>
      <m:oMath>
        <m:nary>
          <m:naryPr>
            <m:chr m:val="∑"/>
            <m:limLoc m:val="subSup"/>
            <m:ctrlPr>
              <w:rPr>
                <w:rFonts w:ascii="Cambria Math" w:hAnsi="Cambria Math"/>
              </w:rPr>
            </m:ctrlPr>
          </m:naryPr>
          <m:sub>
            <m:r>
              <w:rPr>
                <w:rFonts w:ascii="Cambria Math" w:hAnsi="Cambria Math"/>
              </w:rPr>
              <m:t>j</m:t>
            </m:r>
            <m:r>
              <m:rPr>
                <m:sty m:val="p"/>
              </m:rPr>
              <w:rPr>
                <w:rFonts w:ascii="Cambria Math" w:hAnsi="Cambria Math"/>
              </w:rPr>
              <m:t>=1</m:t>
            </m:r>
            <m:ctrlPr>
              <w:rPr>
                <w:rFonts w:ascii="Cambria Math" w:hAnsi="Cambria Math"/>
              </w:rPr>
            </m:ctrlPr>
          </m:sub>
          <m:sup>
            <m:r>
              <w:rPr>
                <w:rFonts w:ascii="Cambria Math" w:hAnsi="Cambria Math"/>
              </w:rPr>
              <m:t>n</m:t>
            </m:r>
            <m:ctrlPr>
              <w:rPr>
                <w:rFonts w:ascii="Cambria Math" w:hAnsi="Cambria Math"/>
              </w:rPr>
            </m:ctrlPr>
          </m:sup>
          <m:e>
            <m:sSub>
              <m:sSubPr>
                <m:ctrlPr>
                  <w:rPr>
                    <w:rFonts w:ascii="Cambria Math" w:hAnsi="Cambria Math"/>
                    <w:i/>
                  </w:rPr>
                </m:ctrlPr>
              </m:sSubPr>
              <m:e>
                <m:r>
                  <w:rPr>
                    <w:rFonts w:ascii="Cambria Math" w:hAnsi="Cambria Math"/>
                  </w:rPr>
                  <m:t>C</m:t>
                </m:r>
                <m:ctrlPr>
                  <w:rPr>
                    <w:rFonts w:ascii="Cambria Math" w:hAnsi="Cambria Math"/>
                    <w:i/>
                  </w:rPr>
                </m:ctrlPr>
              </m:e>
              <m:sub>
                <m:r>
                  <w:rPr>
                    <w:rFonts w:ascii="Cambria Math" w:hAnsi="Cambria Math"/>
                  </w:rPr>
                  <m:t>j</m:t>
                </m:r>
                <m:ctrlPr>
                  <w:rPr>
                    <w:rFonts w:ascii="Cambria Math" w:hAnsi="Cambria Math"/>
                    <w:i/>
                  </w:rPr>
                </m:ctrlPr>
              </m:sub>
            </m:sSub>
            <m:ctrlPr>
              <w:rPr>
                <w:rFonts w:ascii="Cambria Math" w:hAnsi="Cambria Math"/>
              </w:rPr>
            </m:ctrlPr>
          </m:e>
        </m:nary>
      </m:oMath>
      <w:r>
        <w:rPr>
          <w:rFonts w:hint="eastAsia"/>
        </w:rPr>
        <w:t xml:space="preserve">                                                        （5.1.6-7）</w:t>
      </w:r>
    </w:p>
    <w:p>
      <w:pPr>
        <w:tabs>
          <w:tab w:val="left" w:pos="7170"/>
        </w:tabs>
        <w:ind w:firstLine="0" w:firstLineChars="0"/>
      </w:pPr>
      <w:r>
        <w:rPr>
          <w:rFonts w:hint="eastAsia"/>
        </w:rPr>
        <w:t>结构所需的总消能器数量</w:t>
      </w:r>
      <m:oMath>
        <m:sSub>
          <m:sSubPr>
            <m:ctrlPr>
              <w:rPr>
                <w:rFonts w:ascii="Cambria Math" w:hAnsi="Cambria Math"/>
              </w:rPr>
            </m:ctrlPr>
          </m:sSubPr>
          <m:e>
            <m:r>
              <w:rPr>
                <w:rFonts w:ascii="Cambria Math" w:hAnsi="Cambria Math"/>
              </w:rPr>
              <m:t>n</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w:t>
      </w:r>
      <m:oMath>
        <m:f>
          <m:fPr>
            <m:ctrlPr>
              <w:rPr>
                <w:rFonts w:ascii="Cambria Math" w:hAnsi="Cambria Math"/>
              </w:rPr>
            </m:ctrlPr>
          </m:fPr>
          <m:num>
            <m:sSub>
              <m:sSubPr>
                <m:ctrlPr>
                  <w:rPr>
                    <w:rFonts w:ascii="Cambria Math" w:hAnsi="Cambria Math"/>
                    <w:i/>
                  </w:rPr>
                </m:ctrlPr>
              </m:sSubPr>
              <m:e>
                <m:r>
                  <w:rPr>
                    <w:rFonts w:ascii="Cambria Math" w:hAnsi="Cambria Math"/>
                  </w:rPr>
                  <m:t>C</m:t>
                </m:r>
                <m:ctrlPr>
                  <w:rPr>
                    <w:rFonts w:ascii="Cambria Math" w:hAnsi="Cambria Math"/>
                    <w:i/>
                  </w:rPr>
                </m:ctrlPr>
              </m:e>
              <m:sub>
                <m:r>
                  <m:rPr>
                    <m:sty m:val="p"/>
                  </m:rPr>
                  <w:rPr>
                    <w:rFonts w:ascii="Cambria Math" w:hAnsi="Cambria Math"/>
                  </w:rPr>
                  <m:t>总</m:t>
                </m:r>
                <m:ctrlPr>
                  <w:rPr>
                    <w:rFonts w:ascii="Cambria Math" w:hAnsi="Cambria Math"/>
                    <w:i/>
                  </w:rPr>
                </m:ctrlPr>
              </m:sub>
            </m:sSub>
            <m:ctrlPr>
              <w:rPr>
                <w:rFonts w:ascii="Cambria Math" w:hAnsi="Cambria Math"/>
              </w:rPr>
            </m:ctrlPr>
          </m:num>
          <m:den>
            <m:r>
              <w:rPr>
                <w:rFonts w:ascii="Cambria Math" w:hAnsi="Cambria Math"/>
              </w:rPr>
              <m:t>C</m:t>
            </m:r>
            <m:ctrlPr>
              <w:rPr>
                <w:rFonts w:ascii="Cambria Math" w:hAnsi="Cambria Math"/>
              </w:rPr>
            </m:ctrlPr>
          </m:den>
        </m:f>
      </m:oMath>
      <w:r>
        <w:rPr>
          <w:rFonts w:hint="eastAsia"/>
        </w:rPr>
        <w:t xml:space="preserve">                                           （5.1.6-8）</w:t>
      </w:r>
    </w:p>
    <w:p>
      <w:pPr>
        <w:ind w:firstLine="0" w:firstLineChars="0"/>
      </w:pPr>
      <w:r>
        <w:rPr>
          <w:rFonts w:hint="eastAsia"/>
        </w:rPr>
        <w:t>式中：</w:t>
      </w:r>
      <m:oMath>
        <m:sSub>
          <m:sSubPr>
            <m:ctrlPr>
              <w:rPr>
                <w:rFonts w:ascii="Cambria Math" w:hAnsi="Cambria Math"/>
                <w:i/>
              </w:rPr>
            </m:ctrlPr>
          </m:sSubPr>
          <m:e>
            <m:r>
              <w:rPr>
                <w:rFonts w:ascii="Cambria Math" w:hAnsi="Cambria Math"/>
              </w:rPr>
              <m:t>ε</m:t>
            </m:r>
            <m:ctrlPr>
              <w:rPr>
                <w:rFonts w:ascii="Cambria Math" w:hAnsi="Cambria Math"/>
                <w:i/>
              </w:rPr>
            </m:ctrlPr>
          </m:e>
          <m:sub>
            <m:r>
              <w:rPr>
                <w:rFonts w:ascii="Cambria Math" w:hAnsi="Cambria Math"/>
              </w:rPr>
              <m:t>d</m:t>
            </m:r>
            <m:ctrlPr>
              <w:rPr>
                <w:rFonts w:ascii="Cambria Math" w:hAnsi="Cambria Math"/>
                <w:i/>
              </w:rPr>
            </m:ctrlPr>
          </m:sub>
        </m:sSub>
      </m:oMath>
      <w:r>
        <w:rPr>
          <w:rFonts w:hint="eastAsia"/>
        </w:rPr>
        <w:t>------结构假定附加阻尼比；</w:t>
      </w:r>
    </w:p>
    <w:p>
      <w:pPr>
        <w:ind w:firstLine="0" w:firstLineChars="0"/>
      </w:pPr>
      <w:r>
        <w:rPr>
          <w:rFonts w:hint="eastAsia"/>
        </w:rPr>
        <w:t xml:space="preserve">      A-------结构顶层最大线性位移，由A=</w:t>
      </w:r>
      <m:oMath>
        <m:sSub>
          <m:sSubPr>
            <m:ctrlPr>
              <w:rPr>
                <w:rFonts w:ascii="Cambria Math" w:hAnsi="Cambria Math"/>
              </w:rPr>
            </m:ctrlPr>
          </m:sSubPr>
          <m:e>
            <m:r>
              <w:rPr>
                <w:rFonts w:hint="eastAsia" w:ascii="Cambria Math" w:hAnsi="Cambria Math"/>
              </w:rPr>
              <m:t>Г</m:t>
            </m:r>
            <m:ctrlPr>
              <w:rPr>
                <w:rFonts w:ascii="Cambria Math" w:hAnsi="Cambria Math"/>
              </w:rPr>
            </m:ctrlPr>
          </m:e>
          <m:sub>
            <m:r>
              <w:rPr>
                <w:rFonts w:ascii="Cambria Math" w:hAnsi="Cambria Math"/>
              </w:rPr>
              <m:t>1</m:t>
            </m:r>
            <m:ctrlPr>
              <w:rPr>
                <w:rFonts w:ascii="Cambria Math" w:hAnsi="Cambria Math"/>
              </w:rPr>
            </m:ctrlPr>
          </m:sub>
        </m:sSub>
        <m:sSub>
          <m:sSubPr>
            <m:ctrlPr>
              <w:rPr>
                <w:rFonts w:ascii="Cambria Math" w:hAnsi="Cambria Math"/>
              </w:rPr>
            </m:ctrlPr>
          </m:sSubPr>
          <m:e>
            <m:r>
              <w:rPr>
                <w:rFonts w:ascii="Cambria Math" w:hAnsi="Cambria Math"/>
              </w:rPr>
              <m:t>S</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计算</w:t>
      </w:r>
    </w:p>
    <w:p>
      <w:pPr>
        <w:ind w:firstLine="0" w:firstLineChars="0"/>
      </w:pPr>
      <w:r>
        <w:rPr>
          <w:rFonts w:hint="eastAsia"/>
        </w:rPr>
        <w:t xml:space="preserve">      j--------第j层楼</w:t>
      </w:r>
    </w:p>
    <w:p>
      <w:pPr>
        <w:ind w:firstLine="0" w:firstLineChars="0"/>
      </w:pPr>
      <w:r>
        <w:rPr>
          <w:rFonts w:hint="eastAsia"/>
        </w:rPr>
        <w:t xml:space="preserve">      w--------结构第一振型频率</w:t>
      </w:r>
    </w:p>
    <w:p>
      <w:pPr>
        <w:ind w:firstLine="0" w:firstLineChars="0"/>
      </w:pPr>
      <w:r>
        <w:rPr>
          <w:rFonts w:hint="eastAsia"/>
        </w:rPr>
        <w:t xml:space="preserve">      </w:t>
      </w:r>
      <m:oMath>
        <m:sSub>
          <m:sSubPr>
            <m:ctrlPr>
              <w:rPr>
                <w:rFonts w:ascii="Cambria Math" w:hAnsi="Cambria Math"/>
              </w:rPr>
            </m:ctrlPr>
          </m:sSubPr>
          <m:e>
            <m:r>
              <m:rPr>
                <m:sty m:val="p"/>
              </m:rPr>
              <w:rPr>
                <w:rFonts w:hint="eastAsia" w:ascii="Cambria Math" w:hAnsi="Cambria Math"/>
              </w:rPr>
              <m:t xml:space="preserve"> </m:t>
            </m:r>
            <m:r>
              <m:rPr>
                <m:sty m:val="p"/>
              </m:rPr>
              <w:rPr>
                <w:rFonts w:ascii="Cambria Math" w:hAnsi="Cambria Math"/>
              </w:rPr>
              <m:t>m</m:t>
            </m:r>
            <m:ctrlPr>
              <w:rPr>
                <w:rFonts w:ascii="Cambria Math" w:hAnsi="Cambria Math"/>
              </w:rPr>
            </m:ctrlPr>
          </m:e>
          <m:sub>
            <m:r>
              <w:rPr>
                <w:rFonts w:ascii="Cambria Math" w:hAnsi="Cambria Math"/>
              </w:rPr>
              <m:t>i</m:t>
            </m:r>
            <m:ctrlPr>
              <w:rPr>
                <w:rFonts w:ascii="Cambria Math" w:hAnsi="Cambria Math"/>
              </w:rPr>
            </m:ctrlPr>
          </m:sub>
        </m:sSub>
      </m:oMath>
      <w:r>
        <w:rPr>
          <w:rFonts w:hint="eastAsia"/>
        </w:rPr>
        <w:t>--------第i楼层质量</w:t>
      </w:r>
    </w:p>
    <w:p>
      <w:pPr>
        <w:ind w:firstLine="0" w:firstLineChars="0"/>
      </w:pPr>
      <w:r>
        <w:rPr>
          <w:rFonts w:hint="eastAsia"/>
        </w:rPr>
        <w:t xml:space="preserve">      </w:t>
      </w:r>
      <m:oMath>
        <m:sSub>
          <m:sSubPr>
            <m:ctrlPr>
              <w:rPr>
                <w:rFonts w:ascii="Cambria Math" w:hAnsi="Cambria Math"/>
              </w:rPr>
            </m:ctrlPr>
          </m:sSubPr>
          <m:e>
            <m:r>
              <m:rPr>
                <m:sty m:val="p"/>
              </m:rPr>
              <w:rPr>
                <w:rFonts w:hint="eastAsia" w:ascii="Cambria Math" w:hAnsi="Cambria Math"/>
              </w:rPr>
              <m:t xml:space="preserve"> </m:t>
            </m:r>
            <m:r>
              <m:rPr>
                <m:sty m:val="p"/>
              </m:rPr>
              <w:rPr>
                <w:rFonts w:ascii="Cambria Math" w:hAnsi="Cambria Math"/>
              </w:rPr>
              <m:t>C</m:t>
            </m:r>
            <m:ctrlPr>
              <w:rPr>
                <w:rFonts w:ascii="Cambria Math" w:hAnsi="Cambria Math"/>
              </w:rPr>
            </m:ctrlPr>
          </m:e>
          <m:sub>
            <m:r>
              <w:rPr>
                <w:rFonts w:ascii="Cambria Math" w:hAnsi="Cambria Math"/>
              </w:rPr>
              <m:t>j</m:t>
            </m:r>
            <m:ctrlPr>
              <w:rPr>
                <w:rFonts w:ascii="Cambria Math" w:hAnsi="Cambria Math"/>
              </w:rPr>
            </m:ctrlPr>
          </m:sub>
        </m:sSub>
      </m:oMath>
      <w:r>
        <w:rPr>
          <w:rFonts w:hint="eastAsia"/>
        </w:rPr>
        <w:t>--------第j层楼消能器的总阻尼系数</w:t>
      </w:r>
    </w:p>
    <w:p>
      <w:pPr>
        <w:ind w:firstLine="0" w:firstLineChars="0"/>
      </w:pPr>
      <w:r>
        <w:rPr>
          <w:rFonts w:hint="eastAsia"/>
        </w:rPr>
        <w:t xml:space="preserve">       n--------结构楼层数</w:t>
      </w:r>
    </w:p>
    <w:p>
      <w:pPr>
        <w:ind w:firstLine="0" w:firstLineChars="0"/>
      </w:pPr>
      <w:r>
        <w:rPr>
          <w:rFonts w:hint="eastAsia"/>
        </w:rPr>
        <w:t xml:space="preserve">       </w:t>
      </w:r>
      <m:oMath>
        <m:r>
          <m:rPr>
            <m:sty m:val="p"/>
          </m:rPr>
          <w:rPr>
            <w:rFonts w:ascii="Cambria Math" w:hAnsi="Cambria Math"/>
          </w:rPr>
          <m:t>α</m:t>
        </m:r>
      </m:oMath>
      <w:r>
        <w:rPr>
          <w:rFonts w:hint="eastAsia"/>
        </w:rPr>
        <w:t>--------阻尼指数</w:t>
      </w:r>
    </w:p>
    <w:p>
      <w:pPr>
        <w:ind w:firstLine="0" w:firstLineChars="0"/>
      </w:pPr>
      <w:r>
        <w:rPr>
          <w:rFonts w:hint="eastAsia"/>
        </w:rPr>
        <w:t xml:space="preserve">      </w:t>
      </w:r>
      <m:oMath>
        <m:sSub>
          <m:sSubPr>
            <m:ctrlPr>
              <w:rPr>
                <w:rFonts w:ascii="Cambria Math" w:hAnsi="Cambria Math"/>
              </w:rPr>
            </m:ctrlPr>
          </m:sSubPr>
          <m:e>
            <m:r>
              <m:rPr>
                <m:sty m:val="p"/>
              </m:rPr>
              <w:rPr>
                <w:rFonts w:hint="eastAsia" w:ascii="Cambria Math" w:hAnsi="Cambria Math"/>
              </w:rPr>
              <m:t xml:space="preserve"> </m:t>
            </m:r>
            <m:r>
              <m:rPr>
                <m:sty m:val="p"/>
              </m:rPr>
              <w:rPr>
                <w:rFonts w:ascii="Cambria Math" w:hAnsi="Cambria Math"/>
              </w:rPr>
              <m:t>∅</m:t>
            </m:r>
            <m:ctrlPr>
              <w:rPr>
                <w:rFonts w:ascii="Cambria Math" w:hAnsi="Cambria Math"/>
              </w:rPr>
            </m:ctrlPr>
          </m:e>
          <m:sub>
            <m:r>
              <w:rPr>
                <w:rFonts w:ascii="Cambria Math" w:hAnsi="Cambria Math"/>
              </w:rPr>
              <m:t>i</m:t>
            </m:r>
            <m:ctrlPr>
              <w:rPr>
                <w:rFonts w:ascii="Cambria Math" w:hAnsi="Cambria Math"/>
              </w:rPr>
            </m:ctrlPr>
          </m:sub>
        </m:sSub>
      </m:oMath>
      <w:r>
        <w:rPr>
          <w:rFonts w:hint="eastAsia"/>
        </w:rPr>
        <w:t>--------第一振态第i个自由度的位移</w:t>
      </w:r>
    </w:p>
    <w:p>
      <w:pPr>
        <w:ind w:firstLine="0" w:firstLineChars="0"/>
      </w:pPr>
      <w:r>
        <w:rPr>
          <w:rFonts w:hint="eastAsia"/>
        </w:rPr>
        <w:t xml:space="preserve">       </w:t>
      </w:r>
      <m:oMath>
        <m:sSub>
          <m:sSubPr>
            <m:ctrlPr>
              <w:rPr>
                <w:rFonts w:ascii="Cambria Math" w:hAnsi="Cambria Math"/>
              </w:rPr>
            </m:ctrlPr>
          </m:sSubPr>
          <m:e>
            <m:r>
              <m:rPr>
                <m:sty m:val="p"/>
              </m:rPr>
              <w:rPr>
                <w:rFonts w:hint="eastAsia" w:ascii="Cambria Math" w:hAnsi="Cambria Math"/>
              </w:rPr>
              <m:t xml:space="preserve"> </m:t>
            </m:r>
            <m:r>
              <m:rPr>
                <m:sty m:val="p"/>
              </m:rPr>
              <w:rPr>
                <w:rFonts w:ascii="Cambria Math" w:hAnsi="Cambria Math"/>
              </w:rPr>
              <m:t>∅</m:t>
            </m:r>
            <m:ctrlPr>
              <w:rPr>
                <w:rFonts w:ascii="Cambria Math" w:hAnsi="Cambria Math"/>
              </w:rPr>
            </m:ctrlPr>
          </m:e>
          <m:sub>
            <m:r>
              <m:rPr>
                <m:sty m:val="p"/>
              </m:rPr>
              <w:rPr>
                <w:rFonts w:ascii="Cambria Math" w:hAnsi="Cambria Math"/>
              </w:rPr>
              <m:t>rj</m:t>
            </m:r>
            <m:ctrlPr>
              <w:rPr>
                <w:rFonts w:ascii="Cambria Math" w:hAnsi="Cambria Math"/>
              </w:rPr>
            </m:ctrlPr>
          </m:sub>
        </m:sSub>
      </m:oMath>
      <w:r>
        <w:rPr>
          <w:rFonts w:hint="eastAsia"/>
        </w:rPr>
        <w:t>--------第一振态第j个消能器两端的相对水平位移</w:t>
      </w:r>
    </w:p>
    <w:p>
      <w:pPr>
        <w:ind w:firstLine="0" w:firstLineChars="0"/>
      </w:pPr>
      <w:r>
        <w:rPr>
          <w:rFonts w:hint="eastAsia"/>
        </w:rPr>
        <w:t xml:space="preserve">       </w:t>
      </w:r>
      <m:oMath>
        <m:sSub>
          <m:sSubPr>
            <m:ctrlPr>
              <w:rPr>
                <w:rFonts w:ascii="Cambria Math" w:hAnsi="Cambria Math"/>
              </w:rPr>
            </m:ctrlPr>
          </m:sSubPr>
          <m:e>
            <m:r>
              <m:rPr>
                <m:sty m:val="p"/>
              </m:rPr>
              <w:rPr>
                <w:rFonts w:hint="eastAsia" w:ascii="Cambria Math" w:hAnsi="Cambria Math"/>
              </w:rPr>
              <m:t xml:space="preserve"> </m:t>
            </m:r>
            <m:r>
              <m:rPr>
                <m:sty m:val="p"/>
              </m:rPr>
              <w:rPr>
                <w:rFonts w:ascii="Cambria Math" w:hAnsi="Cambria Math"/>
              </w:rPr>
              <m:t>θ</m:t>
            </m:r>
            <m:ctrlPr>
              <w:rPr>
                <w:rFonts w:ascii="Cambria Math" w:hAnsi="Cambria Math"/>
              </w:rPr>
            </m:ctrlPr>
          </m:e>
          <m:sub>
            <m:r>
              <w:rPr>
                <w:rFonts w:ascii="Cambria Math" w:hAnsi="Cambria Math"/>
              </w:rPr>
              <m:t>j</m:t>
            </m:r>
            <m:ctrlPr>
              <w:rPr>
                <w:rFonts w:ascii="Cambria Math" w:hAnsi="Cambria Math"/>
              </w:rPr>
            </m:ctrlPr>
          </m:sub>
        </m:sSub>
      </m:oMath>
      <w:r>
        <w:rPr>
          <w:rFonts w:hint="eastAsia"/>
        </w:rPr>
        <w:t>--------第j个消能器的装设水平倾斜角</w:t>
      </w:r>
    </w:p>
    <w:p>
      <w:pPr>
        <w:ind w:firstLine="0" w:firstLineChars="0"/>
      </w:pPr>
    </w:p>
    <w:p>
      <w:pPr>
        <w:pStyle w:val="4"/>
        <w:rPr>
          <w:color w:val="auto"/>
        </w:rPr>
      </w:pPr>
      <w:bookmarkStart w:id="26" w:name="_Ref507062761"/>
      <w:r>
        <w:rPr>
          <w:rFonts w:hint="eastAsia"/>
          <w:color w:val="auto"/>
        </w:rPr>
        <w:t>减震结构的弹性时程分析</w:t>
      </w:r>
      <w:bookmarkEnd w:id="26"/>
    </w:p>
    <w:p>
      <w:pPr>
        <w:ind w:firstLine="0" w:firstLineChars="0"/>
      </w:pPr>
      <w:r>
        <w:rPr>
          <w:rFonts w:hint="eastAsia"/>
        </w:rPr>
        <w:t xml:space="preserve">    基于ETABS程序的弹性时程分析，首先建立与PKPM（YJK）模型相对应的无消能器模型，提取无消能器的线性分析（振型分析、反应谱分析）下结构的动力特性，与PKPM（YJK）模型进行对比，验证ETABS的质量、周期、层剪力是否和PKPM（YJK）一致，在多遇地震作用下，</w:t>
      </w:r>
      <w:r>
        <w:t>质量、周期</w:t>
      </w:r>
      <w:r>
        <w:rPr>
          <w:rFonts w:hint="eastAsia"/>
        </w:rPr>
        <w:t>相对误差不大于</w:t>
      </w:r>
      <w:r>
        <w:t>5%；振型分解反应谱法</w:t>
      </w:r>
      <w:r>
        <w:rPr>
          <w:rFonts w:hint="eastAsia"/>
        </w:rPr>
        <w:t>所得</w:t>
      </w:r>
      <w:r>
        <w:t>的层间剪力</w:t>
      </w:r>
      <w:r>
        <w:rPr>
          <w:rFonts w:hint="eastAsia"/>
        </w:rPr>
        <w:t>，除顶部个别楼层外，相对误差不大于</w:t>
      </w:r>
      <w:r>
        <w:t>10%。</w:t>
      </w:r>
    </w:p>
    <w:p>
      <w:pPr>
        <w:pStyle w:val="4"/>
        <w:rPr>
          <w:color w:val="auto"/>
        </w:rPr>
      </w:pPr>
      <w:bookmarkStart w:id="27" w:name="_Ref507062811"/>
      <w:r>
        <w:rPr>
          <w:rFonts w:hint="eastAsia"/>
          <w:color w:val="auto"/>
        </w:rPr>
        <w:t>地震波选取</w:t>
      </w:r>
      <w:bookmarkEnd w:id="27"/>
    </w:p>
    <w:p>
      <w:pPr>
        <w:ind w:firstLine="420"/>
      </w:pPr>
      <w:r>
        <w:rPr>
          <w:rFonts w:hint="eastAsia"/>
        </w:rPr>
        <w:t>进行时程分析时，鉴于采用不同地震波分析得出的结果不同，现行国家标准《建筑抗震设计规范》 GB50011（2016年版） 中规定一般可以根据小样本容量下的计算结果来估计地震作用效应值。本导则在《建筑抗震设计规范》 GB50011（2016年版） 基础上，根据以往的工程计算分析结果，在</w:t>
      </w:r>
      <w:r>
        <w:fldChar w:fldCharType="begin"/>
      </w:r>
      <w:r>
        <w:instrText xml:space="preserve"> REF _Ref507059823 \n \h  \* MERGEFORMAT </w:instrText>
      </w:r>
      <w:r>
        <w:fldChar w:fldCharType="separate"/>
      </w:r>
      <w:r>
        <w:t>4.1.7</w:t>
      </w:r>
      <w:r>
        <w:fldChar w:fldCharType="end"/>
      </w:r>
      <w:r>
        <w:t>条中</w:t>
      </w:r>
      <w:r>
        <w:rPr>
          <w:rFonts w:hint="eastAsia"/>
        </w:rPr>
        <w:t>提高了对输入地震波的选用要求。</w:t>
      </w:r>
    </w:p>
    <w:p>
      <w:pPr>
        <w:ind w:firstLine="420"/>
      </w:pPr>
      <w:r>
        <w:rPr>
          <w:rFonts w:hint="eastAsia"/>
        </w:rPr>
        <w:t>正确选择输入的地震加速度时程曲线，要满足地震动三要素的要求，即频谱特性、有效峰值和持续时间均要符合规定。</w:t>
      </w:r>
    </w:p>
    <w:p>
      <w:pPr>
        <w:ind w:firstLine="420"/>
      </w:pPr>
      <w:r>
        <w:rPr>
          <w:rFonts w:hint="eastAsia"/>
        </w:rPr>
        <w:t>频谱特性可用地震影响系数曲线表征，依据所处的场地类别和设计地震分组确定。</w:t>
      </w:r>
    </w:p>
    <w:p>
      <w:pPr>
        <w:ind w:firstLine="420"/>
      </w:pPr>
      <w:r>
        <w:rPr>
          <w:rFonts w:hint="eastAsia"/>
        </w:rPr>
        <w:t>加速度的有效峰值按《建筑抗震设计规范》 GB50011 中表5.1.2-2中所列地震加速度最大值采用。计算输入的加速度曲线的峰值，必要时可比上述有效峰值适当加大。</w:t>
      </w:r>
    </w:p>
    <w:p>
      <w:pPr>
        <w:ind w:firstLine="420"/>
      </w:pPr>
      <w:r>
        <w:rPr>
          <w:rFonts w:hint="eastAsia"/>
        </w:rPr>
        <w:t xml:space="preserve"> 输入的地震加速度时程曲线的有效持续时间，一般从首次达到该时程曲线最大峰值的10%那一点算起，到最后一点达到最大峰值的10%为止；不论是实际的强震记录还是人工模拟波形，有效持续时间一般为结构基本周期的（5~10）倍，即结构顶点的位移可按基本周期往复（5~10）次。 </w:t>
      </w:r>
    </w:p>
    <w:p>
      <w:pPr>
        <w:pStyle w:val="4"/>
        <w:rPr>
          <w:color w:val="auto"/>
        </w:rPr>
      </w:pPr>
      <w:bookmarkStart w:id="28" w:name="_Ref507062855"/>
      <w:r>
        <w:rPr>
          <w:rFonts w:hint="eastAsia"/>
          <w:color w:val="auto"/>
        </w:rPr>
        <w:t>弹性时程分析（</w:t>
      </w:r>
      <w:r>
        <w:rPr>
          <w:color w:val="auto"/>
        </w:rPr>
        <w:t>FNA</w:t>
      </w:r>
      <w:r>
        <w:rPr>
          <w:rFonts w:hint="eastAsia"/>
          <w:color w:val="auto"/>
        </w:rPr>
        <w:t>）</w:t>
      </w:r>
      <w:bookmarkEnd w:id="28"/>
    </w:p>
    <w:p>
      <w:pPr>
        <w:ind w:firstLine="435" w:firstLineChars="0"/>
      </w:pPr>
      <w:r>
        <w:rPr>
          <w:rFonts w:hint="eastAsia"/>
        </w:rPr>
        <w:t>FNA 方法是快速非线性分析方法（Fast Nonlinear Analysis），由于这种方法适用在含有有限数量的非线性单元但结构主体保持弹性的时程分析中，其计算速度快，计算结果精度可信，因此减震结构可采用FNA方法对结构进行弹性时程分析。</w:t>
      </w:r>
    </w:p>
    <w:p>
      <w:pPr>
        <w:pStyle w:val="4"/>
        <w:rPr>
          <w:color w:val="auto"/>
        </w:rPr>
      </w:pPr>
      <w:r>
        <w:rPr>
          <w:rFonts w:hint="eastAsia"/>
          <w:color w:val="auto"/>
        </w:rPr>
        <w:t>复核附加阻尼比</w:t>
      </w:r>
    </w:p>
    <w:p>
      <w:pPr>
        <w:ind w:firstLine="0" w:firstLineChars="0"/>
      </w:pPr>
      <w:r>
        <w:rPr>
          <w:rFonts w:hint="eastAsia"/>
        </w:rPr>
        <w:t xml:space="preserve">     复核计算实际附加阻尼比的方法目前有很多，普遍采用的是结构自由振动反应识别和能量法，即首先计算出消能器耗能和结构耗能，然后计算附加阻尼比。根据《建筑消能减震技术规程》 JGJ 297 消能部件附加给结构的实际有效阻尼比，可按下列方法确定：</w:t>
      </w:r>
    </w:p>
    <w:p>
      <w:pPr>
        <w:ind w:firstLine="0" w:firstLineChars="0"/>
      </w:pPr>
      <w:r>
        <w:rPr>
          <w:rFonts w:hint="eastAsia"/>
        </w:rPr>
        <w:t xml:space="preserve">   1   消能部件附加给结构有效阻尼比可按下式计算：</w:t>
      </w:r>
    </w:p>
    <w:p>
      <w:pPr>
        <w:ind w:firstLine="0" w:firstLineChars="0"/>
      </w:pPr>
      <w:r>
        <w:rPr>
          <w:rFonts w:hint="eastAsia"/>
        </w:rPr>
        <w:t xml:space="preserve">       </w:t>
      </w:r>
      <m:oMath>
        <m:sSub>
          <m:sSubPr>
            <m:ctrlPr>
              <w:rPr>
                <w:rFonts w:ascii="Cambria Math" w:hAnsi="Cambria Math"/>
              </w:rPr>
            </m:ctrlPr>
          </m:sSubPr>
          <m:e>
            <m:r>
              <w:rPr>
                <w:rFonts w:ascii="Cambria Math" w:hAnsi="Cambria Math"/>
              </w:rPr>
              <m:t>ε</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w:t>
      </w:r>
      <m:oMath>
        <m:nary>
          <m:naryPr>
            <m:chr m:val="∑"/>
            <m:limLoc m:val="undOvr"/>
            <m:ctrlPr>
              <w:rPr>
                <w:rFonts w:ascii="Cambria Math" w:hAnsi="Cambria Math"/>
              </w:rPr>
            </m:ctrlPr>
          </m:naryPr>
          <m:sub>
            <m:r>
              <w:rPr>
                <w:rFonts w:ascii="Cambria Math" w:hAnsi="Cambria Math"/>
              </w:rPr>
              <m:t>j=1</m:t>
            </m:r>
            <m:ctrlPr>
              <w:rPr>
                <w:rFonts w:ascii="Cambria Math" w:hAnsi="Cambria Math"/>
              </w:rPr>
            </m:ctrlPr>
          </m:sub>
          <m:sup>
            <m:r>
              <w:rPr>
                <w:rFonts w:ascii="Cambria Math" w:hAnsi="Cambria Math"/>
              </w:rPr>
              <m:t>n</m:t>
            </m:r>
            <m:ctrlPr>
              <w:rPr>
                <w:rFonts w:ascii="Cambria Math" w:hAnsi="Cambria Math"/>
              </w:rPr>
            </m:ctrlPr>
          </m:sup>
          <m:e>
            <m:f>
              <m:fPr>
                <m:ctrlPr>
                  <w:rPr>
                    <w:rFonts w:ascii="Cambria Math" w:hAnsi="Cambria Math"/>
                    <w:i/>
                  </w:rPr>
                </m:ctrlPr>
              </m:fPr>
              <m:num>
                <m:sSub>
                  <m:sSubPr>
                    <m:ctrlPr>
                      <w:rPr>
                        <w:rFonts w:ascii="Cambria Math" w:hAnsi="Cambria Math"/>
                        <w:i/>
                      </w:rPr>
                    </m:ctrlPr>
                  </m:sSubPr>
                  <m:e>
                    <m:r>
                      <w:rPr>
                        <w:rFonts w:ascii="Cambria Math" w:hAnsi="Cambria Math"/>
                      </w:rPr>
                      <m:t>W</m:t>
                    </m:r>
                    <m:ctrlPr>
                      <w:rPr>
                        <w:rFonts w:ascii="Cambria Math" w:hAnsi="Cambria Math"/>
                        <w:i/>
                      </w:rPr>
                    </m:ctrlPr>
                  </m:e>
                  <m:sub>
                    <m:r>
                      <w:rPr>
                        <w:rFonts w:ascii="Cambria Math" w:hAnsi="Cambria Math"/>
                      </w:rPr>
                      <m:t>cj</m:t>
                    </m:r>
                    <m:ctrlPr>
                      <w:rPr>
                        <w:rFonts w:ascii="Cambria Math" w:hAnsi="Cambria Math"/>
                        <w:i/>
                      </w:rPr>
                    </m:ctrlPr>
                  </m:sub>
                </m:sSub>
                <m:ctrlPr>
                  <w:rPr>
                    <w:rFonts w:ascii="Cambria Math" w:hAnsi="Cambria Math"/>
                    <w:i/>
                  </w:rPr>
                </m:ctrlPr>
              </m:num>
              <m:den>
                <m:r>
                  <w:rPr>
                    <w:rFonts w:ascii="Cambria Math" w:hAnsi="Cambria Math"/>
                  </w:rPr>
                  <m:t>4π</m:t>
                </m:r>
                <m:sSub>
                  <m:sSubPr>
                    <m:ctrlPr>
                      <w:rPr>
                        <w:rFonts w:ascii="Cambria Math" w:hAnsi="Cambria Math"/>
                        <w:i/>
                      </w:rPr>
                    </m:ctrlPr>
                  </m:sSubPr>
                  <m:e>
                    <m:r>
                      <w:rPr>
                        <w:rFonts w:ascii="Cambria Math" w:hAnsi="Cambria Math"/>
                      </w:rPr>
                      <m:t>W</m:t>
                    </m:r>
                    <m:ctrlPr>
                      <w:rPr>
                        <w:rFonts w:ascii="Cambria Math" w:hAnsi="Cambria Math"/>
                        <w:i/>
                      </w:rPr>
                    </m:ctrlPr>
                  </m:e>
                  <m:sub>
                    <m:r>
                      <w:rPr>
                        <w:rFonts w:ascii="Cambria Math" w:hAnsi="Cambria Math"/>
                      </w:rPr>
                      <m:t>s</m:t>
                    </m:r>
                    <m:ctrlPr>
                      <w:rPr>
                        <w:rFonts w:ascii="Cambria Math" w:hAnsi="Cambria Math"/>
                        <w:i/>
                      </w:rPr>
                    </m:ctrlPr>
                  </m:sub>
                </m:sSub>
                <m:ctrlPr>
                  <w:rPr>
                    <w:rFonts w:ascii="Cambria Math" w:hAnsi="Cambria Math"/>
                    <w:i/>
                  </w:rPr>
                </m:ctrlPr>
              </m:den>
            </m:f>
            <m:ctrlPr>
              <w:rPr>
                <w:rFonts w:ascii="Cambria Math" w:hAnsi="Cambria Math"/>
              </w:rPr>
            </m:ctrlPr>
          </m:e>
        </m:nary>
      </m:oMath>
      <w:r>
        <w:rPr>
          <w:rFonts w:hint="eastAsia"/>
        </w:rPr>
        <w:t xml:space="preserve">                                                 （5.1.10-1）</w:t>
      </w:r>
    </w:p>
    <w:p>
      <w:pPr>
        <w:ind w:firstLine="0" w:firstLineChars="0"/>
      </w:pPr>
      <w:r>
        <w:rPr>
          <w:rFonts w:hint="eastAsia"/>
        </w:rPr>
        <w:t>式中：</w:t>
      </w:r>
      <m:oMath>
        <m:sSub>
          <m:sSubPr>
            <m:ctrlPr>
              <w:rPr>
                <w:rFonts w:ascii="Cambria Math" w:hAnsi="Cambria Math"/>
              </w:rPr>
            </m:ctrlPr>
          </m:sSubPr>
          <m:e>
            <m:r>
              <w:rPr>
                <w:rFonts w:ascii="Cambria Math" w:hAnsi="Cambria Math"/>
              </w:rPr>
              <m:t>ε</m:t>
            </m:r>
            <m:ctrlPr>
              <w:rPr>
                <w:rFonts w:ascii="Cambria Math" w:hAnsi="Cambria Math"/>
              </w:rPr>
            </m:ctrlPr>
          </m:e>
          <m:sub>
            <m:r>
              <w:rPr>
                <w:rFonts w:ascii="Cambria Math" w:hAnsi="Cambria Math"/>
              </w:rPr>
              <m:t>d</m:t>
            </m:r>
            <m:ctrlPr>
              <w:rPr>
                <w:rFonts w:ascii="Cambria Math" w:hAnsi="Cambria Math"/>
              </w:rPr>
            </m:ctrlPr>
          </m:sub>
        </m:sSub>
      </m:oMath>
      <w:r>
        <w:t>—</w:t>
      </w:r>
      <w:r>
        <w:rPr>
          <w:rFonts w:hint="eastAsia"/>
        </w:rPr>
        <w:t>消能减震结构的附加有效阻尼比；</w:t>
      </w:r>
    </w:p>
    <w:p>
      <w:pPr>
        <w:ind w:firstLine="420" w:firstLineChars="0"/>
      </w:pPr>
      <m:oMath>
        <m:sSub>
          <m:sSubPr>
            <m:ctrlPr>
              <w:rPr>
                <w:rFonts w:ascii="Cambria Math" w:hAnsi="Cambria Math"/>
              </w:rPr>
            </m:ctrlPr>
          </m:sSubPr>
          <m:e>
            <m:r>
              <m:rPr>
                <m:sty m:val="p"/>
              </m:rPr>
              <w:rPr>
                <w:rFonts w:ascii="Cambria Math" w:hAnsi="Cambria Math"/>
              </w:rPr>
              <m:t xml:space="preserve">    W</m:t>
            </m:r>
            <m:ctrlPr>
              <w:rPr>
                <w:rFonts w:ascii="Cambria Math" w:hAnsi="Cambria Math"/>
              </w:rPr>
            </m:ctrlPr>
          </m:e>
          <m:sub>
            <m:r>
              <m:rPr>
                <m:sty m:val="p"/>
              </m:rPr>
              <w:rPr>
                <w:rFonts w:ascii="Cambria Math" w:hAnsi="Cambria Math"/>
              </w:rPr>
              <m:t>cj</m:t>
            </m:r>
            <m:ctrlPr>
              <w:rPr>
                <w:rFonts w:ascii="Cambria Math" w:hAnsi="Cambria Math"/>
              </w:rPr>
            </m:ctrlPr>
          </m:sub>
        </m:sSub>
      </m:oMath>
      <w:r>
        <w:t>—</w:t>
      </w:r>
      <w:r>
        <w:rPr>
          <w:rFonts w:hint="eastAsia"/>
        </w:rPr>
        <w:t>第j个消能部件在结构预期层间位移</w:t>
      </w:r>
      <m:oMath>
        <m:sSub>
          <m:sSubPr>
            <m:ctrlPr>
              <w:rPr>
                <w:rFonts w:ascii="Cambria Math" w:hAnsi="Cambria Math"/>
              </w:rPr>
            </m:ctrlPr>
          </m:sSubPr>
          <m:e>
            <m:r>
              <m:rPr>
                <m:sty m:val="p"/>
              </m:rPr>
              <w:rPr>
                <w:rFonts w:ascii="Cambria Math" w:hAnsi="Cambria Math"/>
              </w:rPr>
              <m:t>∆</m:t>
            </m:r>
            <m:ctrlPr>
              <w:rPr>
                <w:rFonts w:ascii="Cambria Math" w:hAnsi="Cambria Math"/>
              </w:rPr>
            </m:ctrlPr>
          </m:e>
          <m:sub>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m:t>
                </m:r>
                <m:ctrlPr>
                  <w:rPr>
                    <w:rFonts w:ascii="Cambria Math" w:hAnsi="Cambria Math"/>
                  </w:rPr>
                </m:ctrlPr>
              </m:sub>
            </m:sSub>
            <m:ctrlPr>
              <w:rPr>
                <w:rFonts w:ascii="Cambria Math" w:hAnsi="Cambria Math"/>
              </w:rPr>
            </m:ctrlPr>
          </m:sub>
        </m:sSub>
      </m:oMath>
      <w:r>
        <w:rPr>
          <w:rFonts w:hint="eastAsia"/>
        </w:rPr>
        <w:t>下往复循环一周所消耗的能量(kN</w:t>
      </w:r>
      <w:r>
        <w:rPr>
          <w:rFonts w:hint="eastAsia" w:ascii="宋体" w:hAnsi="宋体"/>
        </w:rPr>
        <w:t>•</w:t>
      </w:r>
      <w:r>
        <w:rPr>
          <w:rFonts w:hint="eastAsia"/>
        </w:rPr>
        <w:t>m)；</w:t>
      </w:r>
    </w:p>
    <w:p>
      <w:pPr>
        <w:ind w:firstLine="420" w:firstLineChars="0"/>
      </w:pPr>
      <m:oMath>
        <m:sSub>
          <m:sSubPr>
            <m:ctrlPr>
              <w:rPr>
                <w:rFonts w:ascii="Cambria Math" w:hAnsi="Cambria Math"/>
              </w:rPr>
            </m:ctrlPr>
          </m:sSubPr>
          <m:e>
            <m:r>
              <m:rPr>
                <m:sty m:val="p"/>
              </m:rPr>
              <w:rPr>
                <w:rFonts w:ascii="Cambria Math" w:hAnsi="Cambria Math"/>
              </w:rPr>
              <m:t xml:space="preserve">    W</m:t>
            </m:r>
            <m:ctrlPr>
              <w:rPr>
                <w:rFonts w:ascii="Cambria Math" w:hAnsi="Cambria Math"/>
              </w:rPr>
            </m:ctrlPr>
          </m:e>
          <m:sub>
            <m:r>
              <m:rPr>
                <m:sty m:val="p"/>
              </m:rPr>
              <w:rPr>
                <w:rFonts w:ascii="Cambria Math" w:hAnsi="Cambria Math"/>
              </w:rPr>
              <m:t>s</m:t>
            </m:r>
            <m:ctrlPr>
              <w:rPr>
                <w:rFonts w:ascii="Cambria Math" w:hAnsi="Cambria Math"/>
              </w:rPr>
            </m:ctrlPr>
          </m:sub>
        </m:sSub>
      </m:oMath>
      <w:r>
        <w:t>—</w:t>
      </w:r>
      <w:r>
        <w:rPr>
          <w:rFonts w:hint="eastAsia"/>
        </w:rPr>
        <w:t>消能减震结构在水平地震作用下的总应变能(kN</w:t>
      </w:r>
      <w:r>
        <w:rPr>
          <w:rFonts w:hint="eastAsia" w:ascii="宋体" w:hAnsi="宋体"/>
        </w:rPr>
        <w:t>•</w:t>
      </w:r>
      <w:r>
        <w:rPr>
          <w:rFonts w:hint="eastAsia"/>
        </w:rPr>
        <w:t>m)。</w:t>
      </w:r>
    </w:p>
    <w:p>
      <w:pPr>
        <w:ind w:firstLine="420"/>
      </w:pPr>
      <w:r>
        <w:rPr>
          <w:rFonts w:hint="eastAsia"/>
        </w:rPr>
        <w:t>2 不计及扭转影响时，消能减震结构在水平地震作用下的总应变能，可按下式计算：</w:t>
      </w:r>
    </w:p>
    <w:p>
      <w:pPr>
        <w:ind w:firstLine="420"/>
      </w:pPr>
      <m:oMath>
        <m:sSub>
          <m:sSubPr>
            <m:ctrlPr>
              <w:rPr>
                <w:rFonts w:ascii="Cambria Math" w:hAnsi="Cambria Math"/>
              </w:rPr>
            </m:ctrlPr>
          </m:sSubPr>
          <m:e>
            <m:r>
              <m:rPr>
                <m:sty m:val="p"/>
              </m:rPr>
              <w:rPr>
                <w:rFonts w:ascii="Cambria Math" w:hAnsi="Cambria Math"/>
              </w:rPr>
              <m:t>W</m:t>
            </m:r>
            <m:ctrlPr>
              <w:rPr>
                <w:rFonts w:ascii="Cambria Math" w:hAnsi="Cambria Math"/>
              </w:rPr>
            </m:ctrlPr>
          </m:e>
          <m:sub>
            <m:r>
              <m:rPr>
                <m:sty m:val="p"/>
              </m:rPr>
              <w:rPr>
                <w:rFonts w:ascii="Cambria Math" w:hAnsi="Cambria Math"/>
              </w:rPr>
              <m:t>s</m:t>
            </m:r>
            <m:ctrlPr>
              <w:rPr>
                <w:rFonts w:ascii="Cambria Math" w:hAnsi="Cambria Math"/>
              </w:rPr>
            </m:ctrlPr>
          </m:sub>
        </m:sSub>
      </m:oMath>
      <w:r>
        <w:rPr>
          <w:rFonts w:hint="eastAsia"/>
        </w:rPr>
        <w:t>=</w:t>
      </w:r>
      <m:oMath>
        <m:nary>
          <m:naryPr>
            <m:chr m:val="∑"/>
            <m:limLoc m:val="undOvr"/>
            <m:subHide m:val="1"/>
            <m:supHide m:val="1"/>
            <m:ctrlPr>
              <w:rPr>
                <w:rFonts w:ascii="Cambria Math" w:hAnsi="Cambria Math"/>
              </w:rPr>
            </m:ctrlPr>
          </m:naryPr>
          <m:sub>
            <m:ctrlPr>
              <w:rPr>
                <w:rFonts w:ascii="Cambria Math" w:hAnsi="Cambria Math"/>
              </w:rPr>
            </m:ctrlPr>
          </m:sub>
          <m:sup>
            <m:ctrlPr>
              <w:rPr>
                <w:rFonts w:ascii="Cambria Math" w:hAnsi="Cambria Math"/>
              </w:rPr>
            </m:ctrlPr>
          </m:sup>
          <m:e>
            <m:f>
              <m:fPr>
                <m:ctrlPr>
                  <w:rPr>
                    <w:rFonts w:ascii="Cambria Math" w:hAnsi="Cambria Math"/>
                    <w:i/>
                  </w:rPr>
                </m:ctrlPr>
              </m:fPr>
              <m:num>
                <m:sSub>
                  <m:sSubPr>
                    <m:ctrlPr>
                      <w:rPr>
                        <w:rFonts w:ascii="Cambria Math" w:hAnsi="Cambria Math"/>
                        <w:i/>
                      </w:rPr>
                    </m:ctrlPr>
                  </m:sSubPr>
                  <m:e>
                    <m:r>
                      <w:rPr>
                        <w:rFonts w:ascii="Cambria Math" w:hAnsi="Cambria Math"/>
                      </w:rPr>
                      <m:t>F</m:t>
                    </m:r>
                    <m:ctrlPr>
                      <w:rPr>
                        <w:rFonts w:ascii="Cambria Math" w:hAnsi="Cambria Math"/>
                        <w:i/>
                      </w:rPr>
                    </m:ctrlPr>
                  </m:e>
                  <m:sub>
                    <m:r>
                      <w:rPr>
                        <w:rFonts w:ascii="Cambria Math" w:hAnsi="Cambria Math"/>
                      </w:rPr>
                      <m:t>i</m:t>
                    </m:r>
                    <m:sSub>
                      <m:sSubPr>
                        <m:ctrlPr>
                          <w:rPr>
                            <w:rFonts w:ascii="Cambria Math" w:hAnsi="Cambria Math"/>
                            <w:i/>
                          </w:rPr>
                        </m:ctrlPr>
                      </m:sSubPr>
                      <m:e>
                        <m:r>
                          <w:rPr>
                            <w:rFonts w:ascii="Cambria Math" w:hAnsi="Cambria Math"/>
                          </w:rPr>
                          <m:t>u</m:t>
                        </m:r>
                        <m:ctrlPr>
                          <w:rPr>
                            <w:rFonts w:ascii="Cambria Math" w:hAnsi="Cambria Math"/>
                            <w:i/>
                          </w:rPr>
                        </m:ctrlPr>
                      </m:e>
                      <m:sub>
                        <m:r>
                          <w:rPr>
                            <w:rFonts w:ascii="Cambria Math" w:hAnsi="Cambria Math"/>
                          </w:rPr>
                          <m:t>i</m:t>
                        </m:r>
                        <m:ctrlPr>
                          <w:rPr>
                            <w:rFonts w:ascii="Cambria Math" w:hAnsi="Cambria Math"/>
                            <w:i/>
                          </w:rPr>
                        </m:ctrlPr>
                      </m:sub>
                    </m:sSub>
                    <m:ctrlPr>
                      <w:rPr>
                        <w:rFonts w:ascii="Cambria Math" w:hAnsi="Cambria Math"/>
                        <w:i/>
                      </w:rPr>
                    </m:ctrlPr>
                  </m:sub>
                </m:sSub>
                <m:ctrlPr>
                  <w:rPr>
                    <w:rFonts w:ascii="Cambria Math" w:hAnsi="Cambria Math"/>
                    <w:i/>
                  </w:rPr>
                </m:ctrlPr>
              </m:num>
              <m:den>
                <m:r>
                  <w:rPr>
                    <w:rFonts w:ascii="Cambria Math" w:hAnsi="Cambria Math"/>
                  </w:rPr>
                  <m:t>2</m:t>
                </m:r>
                <m:ctrlPr>
                  <w:rPr>
                    <w:rFonts w:ascii="Cambria Math" w:hAnsi="Cambria Math"/>
                    <w:i/>
                  </w:rPr>
                </m:ctrlPr>
              </m:den>
            </m:f>
            <m:ctrlPr>
              <w:rPr>
                <w:rFonts w:ascii="Cambria Math" w:hAnsi="Cambria Math"/>
              </w:rPr>
            </m:ctrlPr>
          </m:e>
        </m:nary>
      </m:oMath>
      <w:r>
        <w:rPr>
          <w:rFonts w:hint="eastAsia"/>
        </w:rPr>
        <w:t xml:space="preserve">                                                       （5.1.10-2）</w:t>
      </w:r>
    </w:p>
    <w:p>
      <w:pPr>
        <w:ind w:left="1155" w:hanging="1155" w:hangingChars="550"/>
      </w:pPr>
      <w:r>
        <w:rPr>
          <w:rFonts w:hint="eastAsia"/>
        </w:rPr>
        <w:t>式中：</w:t>
      </w: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i</m:t>
            </m:r>
            <m:ctrlPr>
              <w:rPr>
                <w:rFonts w:ascii="Cambria Math" w:hAnsi="Cambria Math"/>
              </w:rPr>
            </m:ctrlPr>
          </m:sub>
        </m:sSub>
      </m:oMath>
      <w:r>
        <w:t>—</w:t>
      </w:r>
      <w:r>
        <w:rPr>
          <w:rFonts w:hint="eastAsia"/>
        </w:rPr>
        <w:t>质点i的水平地震作用标准值（一般取相应于第一振型的水平地震作用即可，kN）；</w:t>
      </w:r>
    </w:p>
    <w:p>
      <w:pPr>
        <w:ind w:firstLine="420" w:firstLineChars="0"/>
      </w:pPr>
      <m:oMath>
        <m:sSub>
          <m:sSubPr>
            <m:ctrlPr>
              <w:rPr>
                <w:rFonts w:ascii="Cambria Math" w:hAnsi="Cambria Math"/>
              </w:rPr>
            </m:ctrlPr>
          </m:sSubPr>
          <m:e>
            <m:r>
              <m:rPr>
                <m:sty m:val="p"/>
              </m:rPr>
              <w:rPr>
                <w:rFonts w:ascii="Cambria Math" w:hAnsi="Cambria Math"/>
              </w:rPr>
              <m:t xml:space="preserve">    </m:t>
            </m:r>
            <m:r>
              <w:rPr>
                <w:rFonts w:ascii="Cambria Math" w:hAnsi="Cambria Math"/>
              </w:rPr>
              <m:t>u</m:t>
            </m:r>
            <m:ctrlPr>
              <w:rPr>
                <w:rFonts w:ascii="Cambria Math" w:hAnsi="Cambria Math"/>
              </w:rPr>
            </m:ctrlPr>
          </m:e>
          <m:sub>
            <m:r>
              <w:rPr>
                <w:rFonts w:ascii="Cambria Math" w:hAnsi="Cambria Math"/>
              </w:rPr>
              <m:t>i</m:t>
            </m:r>
            <m:ctrlPr>
              <w:rPr>
                <w:rFonts w:ascii="Cambria Math" w:hAnsi="Cambria Math"/>
              </w:rPr>
            </m:ctrlPr>
          </m:sub>
        </m:sSub>
      </m:oMath>
      <w:r>
        <w:t>—</w:t>
      </w:r>
      <w:r>
        <w:rPr>
          <w:rFonts w:hint="eastAsia"/>
        </w:rPr>
        <w:t>质点i对应于水平地震作用标准值的位移（m）。</w:t>
      </w:r>
    </w:p>
    <w:p>
      <w:pPr>
        <w:ind w:firstLine="420"/>
      </w:pPr>
      <w:r>
        <w:rPr>
          <w:rFonts w:hint="eastAsia"/>
        </w:rPr>
        <w:t>3 速度线性相关型消能器在水平地震作用下所往复一周所消耗的能量，可按下式计算：</w:t>
      </w:r>
    </w:p>
    <w:p>
      <w:pPr>
        <w:ind w:firstLine="420"/>
      </w:pPr>
      <m:oMath>
        <m:sSub>
          <m:sSubPr>
            <m:ctrlPr>
              <w:rPr>
                <w:rFonts w:ascii="Cambria Math" w:hAnsi="Cambria Math"/>
              </w:rPr>
            </m:ctrlPr>
          </m:sSubPr>
          <m:e>
            <m:r>
              <m:rPr>
                <m:sty m:val="p"/>
              </m:rPr>
              <w:rPr>
                <w:rFonts w:ascii="Cambria Math" w:hAnsi="Cambria Math"/>
              </w:rPr>
              <m:t>W</m:t>
            </m:r>
            <m:ctrlPr>
              <w:rPr>
                <w:rFonts w:ascii="Cambria Math" w:hAnsi="Cambria Math"/>
              </w:rPr>
            </m:ctrlPr>
          </m:e>
          <m:sub>
            <m:r>
              <m:rPr>
                <m:sty m:val="p"/>
              </m:rPr>
              <w:rPr>
                <w:rFonts w:ascii="Cambria Math" w:hAnsi="Cambria Math"/>
              </w:rPr>
              <m:t>cj</m:t>
            </m:r>
            <m:ctrlPr>
              <w:rPr>
                <w:rFonts w:ascii="Cambria Math" w:hAnsi="Cambria Math"/>
              </w:rPr>
            </m:ctrlPr>
          </m:sub>
        </m:sSub>
      </m:oMath>
      <w:r>
        <w:rPr>
          <w:rFonts w:hint="eastAsia"/>
        </w:rPr>
        <w:t>=(</w:t>
      </w:r>
      <m:oMath>
        <m:f>
          <m:fPr>
            <m:type m:val="lin"/>
            <m:ctrlPr>
              <w:rPr>
                <w:rFonts w:ascii="Cambria Math" w:hAnsi="Cambria Math"/>
              </w:rPr>
            </m:ctrlPr>
          </m:fPr>
          <m:num>
            <m:r>
              <w:rPr>
                <w:rFonts w:ascii="Cambria Math" w:hAnsi="Cambria Math"/>
              </w:rPr>
              <m:t>2</m:t>
            </m:r>
            <m:sSup>
              <m:sSupPr>
                <m:ctrlPr>
                  <w:rPr>
                    <w:rFonts w:ascii="Cambria Math" w:hAnsi="Cambria Math"/>
                    <w:i/>
                  </w:rPr>
                </m:ctrlPr>
              </m:sSupPr>
              <m:e>
                <m:r>
                  <w:rPr>
                    <w:rFonts w:ascii="Cambria Math" w:hAnsi="Cambria Math"/>
                  </w:rPr>
                  <m:t>π</m:t>
                </m:r>
                <m:ctrlPr>
                  <w:rPr>
                    <w:rFonts w:ascii="Cambria Math" w:hAnsi="Cambria Math"/>
                    <w:i/>
                  </w:rPr>
                </m:ctrlPr>
              </m:e>
              <m:sup>
                <m:r>
                  <w:rPr>
                    <w:rFonts w:ascii="Cambria Math" w:hAnsi="Cambria Math"/>
                  </w:rPr>
                  <m:t>2</m:t>
                </m:r>
                <m:ctrlPr>
                  <w:rPr>
                    <w:rFonts w:ascii="Cambria Math" w:hAnsi="Cambria Math"/>
                    <w:i/>
                  </w:rPr>
                </m:ctrlPr>
              </m:sup>
            </m:sSup>
            <m:ctrlPr>
              <w:rPr>
                <w:rFonts w:ascii="Cambria Math" w:hAnsi="Cambria Math"/>
              </w:rPr>
            </m:ctrlPr>
          </m:num>
          <m:den>
            <m:sSub>
              <m:sSubPr>
                <m:ctrlPr>
                  <w:rPr>
                    <w:rFonts w:ascii="Cambria Math" w:hAnsi="Cambria Math"/>
                    <w:i/>
                  </w:rPr>
                </m:ctrlPr>
              </m:sSubPr>
              <m:e>
                <m:r>
                  <w:rPr>
                    <w:rFonts w:ascii="Cambria Math" w:hAnsi="Cambria Math"/>
                  </w:rPr>
                  <m:t>T</m:t>
                </m:r>
                <m:ctrlPr>
                  <w:rPr>
                    <w:rFonts w:ascii="Cambria Math" w:hAnsi="Cambria Math"/>
                    <w:i/>
                  </w:rPr>
                </m:ctrlPr>
              </m:e>
              <m:sub>
                <m:r>
                  <w:rPr>
                    <w:rFonts w:ascii="Cambria Math" w:hAnsi="Cambria Math"/>
                  </w:rPr>
                  <m:t>1</m:t>
                </m:r>
                <m:ctrlPr>
                  <w:rPr>
                    <w:rFonts w:ascii="Cambria Math" w:hAnsi="Cambria Math"/>
                    <w:i/>
                  </w:rPr>
                </m:ctrlPr>
              </m:sub>
            </m:sSub>
            <m:ctrlPr>
              <w:rPr>
                <w:rFonts w:ascii="Cambria Math" w:hAnsi="Cambria Math"/>
              </w:rPr>
            </m:ctrlPr>
          </m:den>
        </m:f>
      </m:oMath>
      <w:r>
        <w:rPr>
          <w:rFonts w:hint="eastAsia"/>
        </w:rPr>
        <w:t>)</w:t>
      </w:r>
      <m:oMath>
        <m:nary>
          <m:naryPr>
            <m:chr m:val="∑"/>
            <m:limLoc m:val="undOvr"/>
            <m:subHide m:val="1"/>
            <m:supHide m:val="1"/>
            <m:ctrlPr>
              <w:rPr>
                <w:rFonts w:ascii="Cambria Math" w:hAnsi="Cambria Math"/>
              </w:rPr>
            </m:ctrlPr>
          </m:naryPr>
          <m:sub>
            <m:ctrlPr>
              <w:rPr>
                <w:rFonts w:ascii="Cambria Math" w:hAnsi="Cambria Math"/>
              </w:rPr>
            </m:ctrlPr>
          </m:sub>
          <m:sup>
            <m:ctrlPr>
              <w:rPr>
                <w:rFonts w:ascii="Cambria Math" w:hAnsi="Cambria Math"/>
              </w:rPr>
            </m:ctrlPr>
          </m:sup>
          <m:e>
            <m:sSub>
              <m:sSubPr>
                <m:ctrlPr>
                  <w:rPr>
                    <w:rFonts w:ascii="Cambria Math" w:hAnsi="Cambria Math"/>
                    <w:i/>
                  </w:rPr>
                </m:ctrlPr>
              </m:sSubPr>
              <m:e>
                <m:r>
                  <w:rPr>
                    <w:rFonts w:ascii="Cambria Math" w:hAnsi="Cambria Math"/>
                  </w:rPr>
                  <m:t>C</m:t>
                </m:r>
                <m:ctrlPr>
                  <w:rPr>
                    <w:rFonts w:ascii="Cambria Math" w:hAnsi="Cambria Math"/>
                    <w:i/>
                  </w:rPr>
                </m:ctrlPr>
              </m:e>
              <m:sub>
                <m:r>
                  <w:rPr>
                    <w:rFonts w:ascii="Cambria Math" w:hAnsi="Cambria Math"/>
                  </w:rPr>
                  <m:t>j</m:t>
                </m:r>
                <m:ctrlPr>
                  <w:rPr>
                    <w:rFonts w:ascii="Cambria Math" w:hAnsi="Cambria Math"/>
                    <w:i/>
                  </w:rPr>
                </m:ctrlPr>
              </m:sub>
            </m:sSub>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cosθ</m:t>
                    </m:r>
                    <m:ctrlPr>
                      <w:rPr>
                        <w:rFonts w:ascii="Cambria Math" w:hAnsi="Cambria Math"/>
                        <w:i/>
                      </w:rPr>
                    </m:ctrlPr>
                  </m:e>
                  <m:sub>
                    <m:r>
                      <w:rPr>
                        <w:rFonts w:ascii="Cambria Math" w:hAnsi="Cambria Math"/>
                      </w:rPr>
                      <m:t>j</m:t>
                    </m:r>
                    <m:ctrlPr>
                      <w:rPr>
                        <w:rFonts w:ascii="Cambria Math" w:hAnsi="Cambria Math"/>
                        <w:i/>
                      </w:rPr>
                    </m:ctrlPr>
                  </m:sub>
                </m:sSub>
                <m:r>
                  <w:rPr>
                    <w:rFonts w:ascii="Cambria Math" w:hAnsi="Cambria Math"/>
                  </w:rPr>
                  <m:t>)</m:t>
                </m:r>
                <m:ctrlPr>
                  <w:rPr>
                    <w:rFonts w:ascii="Cambria Math" w:hAnsi="Cambria Math"/>
                    <w:i/>
                  </w:rPr>
                </m:ctrlPr>
              </m:e>
              <m:sup>
                <m:r>
                  <w:rPr>
                    <w:rFonts w:ascii="Cambria Math" w:hAnsi="Cambria Math"/>
                  </w:rPr>
                  <m:t>2</m:t>
                </m:r>
                <m:ctrlPr>
                  <w:rPr>
                    <w:rFonts w:ascii="Cambria Math" w:hAnsi="Cambria Math"/>
                    <w:i/>
                  </w:rPr>
                </m:ctrlPr>
              </m:sup>
            </m:sSup>
            <m:ctrlPr>
              <w:rPr>
                <w:rFonts w:ascii="Cambria Math" w:hAnsi="Cambria Math"/>
              </w:rPr>
            </m:ctrlPr>
          </m:e>
        </m:nary>
        <m:r>
          <w:rPr>
            <w:rFonts w:ascii="Cambria Math" w:hAnsi="Cambria Math"/>
          </w:rPr>
          <m:t>∆</m:t>
        </m:r>
        <m:sSubSup>
          <m:sSubSupPr>
            <m:ctrlPr>
              <w:rPr>
                <w:rFonts w:ascii="Cambria Math" w:hAnsi="Cambria Math"/>
                <w:i/>
              </w:rPr>
            </m:ctrlPr>
          </m:sSubSupPr>
          <m:e>
            <m:r>
              <w:rPr>
                <w:rFonts w:ascii="Cambria Math" w:hAnsi="Cambria Math"/>
              </w:rPr>
              <m:t>u</m:t>
            </m:r>
            <m:ctrlPr>
              <w:rPr>
                <w:rFonts w:ascii="Cambria Math" w:hAnsi="Cambria Math"/>
                <w:i/>
              </w:rPr>
            </m:ctrlPr>
          </m:e>
          <m:sub>
            <m:r>
              <w:rPr>
                <w:rFonts w:ascii="Cambria Math" w:hAnsi="Cambria Math"/>
              </w:rPr>
              <m:t>j</m:t>
            </m:r>
            <m:ctrlPr>
              <w:rPr>
                <w:rFonts w:ascii="Cambria Math" w:hAnsi="Cambria Math"/>
                <w:i/>
              </w:rPr>
            </m:ctrlPr>
          </m:sub>
          <m:sup>
            <m:r>
              <w:rPr>
                <w:rFonts w:ascii="Cambria Math" w:hAnsi="Cambria Math"/>
              </w:rPr>
              <m:t>2</m:t>
            </m:r>
            <m:ctrlPr>
              <w:rPr>
                <w:rFonts w:ascii="Cambria Math" w:hAnsi="Cambria Math"/>
                <w:i/>
              </w:rPr>
            </m:ctrlPr>
          </m:sup>
        </m:sSubSup>
      </m:oMath>
      <w:r>
        <w:rPr>
          <w:rFonts w:hint="eastAsia"/>
        </w:rPr>
        <w:t xml:space="preserve">                                       (5.1.10-3)                       </w:t>
      </w:r>
    </w:p>
    <w:p>
      <w:pPr>
        <w:ind w:left="1155" w:hanging="1155" w:hangingChars="550"/>
      </w:pPr>
      <w:r>
        <w:rPr>
          <w:rFonts w:hint="eastAsia"/>
        </w:rPr>
        <w:t>式中：</w:t>
      </w:r>
      <m:oMath>
        <m:sSub>
          <m:sSubPr>
            <m:ctrlPr>
              <w:rPr>
                <w:rFonts w:ascii="Cambria Math" w:hAnsi="Cambria Math"/>
              </w:rPr>
            </m:ctrlPr>
          </m:sSubPr>
          <m:e>
            <m:r>
              <w:rPr>
                <w:rFonts w:ascii="Cambria Math" w:hAnsi="Cambria Math"/>
              </w:rPr>
              <m:t>T</m:t>
            </m:r>
            <m:ctrlPr>
              <w:rPr>
                <w:rFonts w:ascii="Cambria Math" w:hAnsi="Cambria Math"/>
              </w:rPr>
            </m:ctrlPr>
          </m:e>
          <m:sub>
            <m:r>
              <w:rPr>
                <w:rFonts w:ascii="Cambria Math" w:hAnsi="Cambria Math"/>
              </w:rPr>
              <m:t>1</m:t>
            </m:r>
            <m:ctrlPr>
              <w:rPr>
                <w:rFonts w:ascii="Cambria Math" w:hAnsi="Cambria Math"/>
              </w:rPr>
            </m:ctrlPr>
          </m:sub>
        </m:sSub>
      </m:oMath>
      <w:r>
        <w:t>—</w:t>
      </w:r>
      <w:r>
        <w:rPr>
          <w:rFonts w:hint="eastAsia"/>
        </w:rPr>
        <w:t>消能减震结构的基本自振周期（s）；</w:t>
      </w:r>
    </w:p>
    <w:p>
      <w:pPr>
        <w:ind w:firstLine="420" w:firstLineChars="0"/>
      </w:pPr>
      <m:oMath>
        <m:sSub>
          <m:sSubPr>
            <m:ctrlPr>
              <w:rPr>
                <w:rFonts w:ascii="Cambria Math" w:hAnsi="Cambria Math"/>
              </w:rPr>
            </m:ctrlPr>
          </m:sSubPr>
          <m:e>
            <m:r>
              <m:rPr>
                <m:sty m:val="p"/>
              </m:rPr>
              <w:rPr>
                <w:rFonts w:ascii="Cambria Math" w:hAnsi="Cambria Math"/>
              </w:rPr>
              <m:t xml:space="preserve">    </m:t>
            </m:r>
            <m:r>
              <w:rPr>
                <w:rFonts w:ascii="Cambria Math" w:hAnsi="Cambria Math"/>
              </w:rPr>
              <m:t>C</m:t>
            </m:r>
            <m:ctrlPr>
              <w:rPr>
                <w:rFonts w:ascii="Cambria Math" w:hAnsi="Cambria Math"/>
              </w:rPr>
            </m:ctrlPr>
          </m:e>
          <m:sub>
            <m:r>
              <w:rPr>
                <w:rFonts w:ascii="Cambria Math" w:hAnsi="Cambria Math"/>
              </w:rPr>
              <m:t>j</m:t>
            </m:r>
            <m:ctrlPr>
              <w:rPr>
                <w:rFonts w:ascii="Cambria Math" w:hAnsi="Cambria Math"/>
              </w:rPr>
            </m:ctrlPr>
          </m:sub>
        </m:sSub>
      </m:oMath>
      <w:r>
        <w:t>—</w:t>
      </w:r>
      <w:r>
        <w:rPr>
          <w:rFonts w:hint="eastAsia"/>
        </w:rPr>
        <w:t xml:space="preserve">第j个消能器由试验确定的线性阻尼系数[ </w:t>
      </w:r>
      <m:oMath>
        <m:f>
          <m:fPr>
            <m:type m:val="lin"/>
            <m:ctrlPr>
              <w:rPr>
                <w:rFonts w:ascii="Cambria Math" w:hAnsi="Cambria Math"/>
              </w:rPr>
            </m:ctrlPr>
          </m:fPr>
          <m:num>
            <m:r>
              <w:rPr>
                <w:rFonts w:ascii="Cambria Math" w:hAnsi="Cambria Math"/>
              </w:rPr>
              <m:t>kN</m:t>
            </m:r>
            <m:ctrlPr>
              <w:rPr>
                <w:rFonts w:ascii="Cambria Math" w:hAnsi="Cambria Math"/>
              </w:rPr>
            </m:ctrlPr>
          </m:num>
          <m:den>
            <m:r>
              <w:rPr>
                <w:rFonts w:ascii="Cambria Math" w:hAnsi="Cambria Math"/>
              </w:rPr>
              <m:t>(m</m:t>
            </m:r>
            <m:r>
              <w:rPr>
                <w:rFonts w:hint="eastAsia" w:ascii="Cambria Math" w:hAnsi="Cambria Math"/>
              </w:rPr>
              <m:t>•</m:t>
            </m:r>
            <m:r>
              <w:rPr>
                <w:rFonts w:ascii="Cambria Math" w:hAnsi="Cambria Math"/>
              </w:rPr>
              <m:t>s)</m:t>
            </m:r>
            <m:ctrlPr>
              <w:rPr>
                <w:rFonts w:ascii="Cambria Math" w:hAnsi="Cambria Math"/>
              </w:rPr>
            </m:ctrlPr>
          </m:den>
        </m:f>
      </m:oMath>
      <w:r>
        <w:rPr>
          <w:rFonts w:hint="eastAsia"/>
        </w:rPr>
        <w:t>];</w:t>
      </w:r>
    </w:p>
    <w:p>
      <w:pPr>
        <w:ind w:firstLine="420" w:firstLineChars="0"/>
      </w:pPr>
      <m:oMath>
        <m:sSub>
          <m:sSubPr>
            <m:ctrlPr>
              <w:rPr>
                <w:rFonts w:ascii="Cambria Math" w:hAnsi="Cambria Math"/>
              </w:rPr>
            </m:ctrlPr>
          </m:sSubPr>
          <m:e>
            <m:r>
              <m:rPr>
                <m:sty m:val="p"/>
              </m:rPr>
              <w:rPr>
                <w:rFonts w:ascii="Cambria Math" w:hAnsi="Cambria Math"/>
              </w:rPr>
              <m:t xml:space="preserve">    </m:t>
            </m:r>
            <m:r>
              <w:rPr>
                <w:rFonts w:ascii="Cambria Math" w:hAnsi="Cambria Math"/>
              </w:rPr>
              <m:t>θ</m:t>
            </m:r>
            <m:ctrlPr>
              <w:rPr>
                <w:rFonts w:ascii="Cambria Math" w:hAnsi="Cambria Math"/>
              </w:rPr>
            </m:ctrlPr>
          </m:e>
          <m:sub>
            <m:r>
              <w:rPr>
                <w:rFonts w:ascii="Cambria Math" w:hAnsi="Cambria Math"/>
              </w:rPr>
              <m:t>j</m:t>
            </m:r>
            <m:ctrlPr>
              <w:rPr>
                <w:rFonts w:ascii="Cambria Math" w:hAnsi="Cambria Math"/>
              </w:rPr>
            </m:ctrlPr>
          </m:sub>
        </m:sSub>
      </m:oMath>
      <w:r>
        <w:t>—</w:t>
      </w:r>
      <w:r>
        <w:rPr>
          <w:rFonts w:hint="eastAsia"/>
        </w:rPr>
        <w:t>第j个消能器的消能方向与水平面的夹角（</w:t>
      </w:r>
      <m:oMath>
        <m:r>
          <m:rPr>
            <m:sty m:val="p"/>
          </m:rPr>
          <w:rPr>
            <w:rFonts w:ascii="Cambria Math" w:hAnsi="Cambria Math"/>
          </w:rPr>
          <m:t>°</m:t>
        </m:r>
      </m:oMath>
      <w:r>
        <w:rPr>
          <w:rFonts w:hint="eastAsia"/>
        </w:rPr>
        <w:t>）;</w:t>
      </w:r>
    </w:p>
    <w:p>
      <w:pPr>
        <w:ind w:firstLine="420" w:firstLineChars="0"/>
      </w:pPr>
      <m:oMath>
        <m:sSub>
          <m:sSubPr>
            <m:ctrlPr>
              <w:rPr>
                <w:rFonts w:ascii="Cambria Math" w:hAnsi="Cambria Math"/>
              </w:rPr>
            </m:ctrlPr>
          </m:sSubPr>
          <m:e>
            <m:r>
              <m:rPr>
                <m:sty m:val="p"/>
              </m:rPr>
              <w:rPr>
                <w:rFonts w:ascii="Cambria Math" w:hAnsi="Cambria Math"/>
              </w:rPr>
              <m:t xml:space="preserve">    </m:t>
            </m:r>
            <m:r>
              <w:rPr>
                <w:rFonts w:ascii="Cambria Math" w:hAnsi="Cambria Math"/>
              </w:rPr>
              <m:t>∆u</m:t>
            </m:r>
            <m:ctrlPr>
              <w:rPr>
                <w:rFonts w:ascii="Cambria Math" w:hAnsi="Cambria Math"/>
              </w:rPr>
            </m:ctrlPr>
          </m:e>
          <m:sub>
            <m:r>
              <w:rPr>
                <w:rFonts w:ascii="Cambria Math" w:hAnsi="Cambria Math"/>
              </w:rPr>
              <m:t>j</m:t>
            </m:r>
            <m:ctrlPr>
              <w:rPr>
                <w:rFonts w:ascii="Cambria Math" w:hAnsi="Cambria Math"/>
              </w:rPr>
            </m:ctrlPr>
          </m:sub>
        </m:sSub>
      </m:oMath>
      <w:r>
        <w:t>—</w:t>
      </w:r>
      <w:r>
        <w:rPr>
          <w:rFonts w:hint="eastAsia"/>
        </w:rPr>
        <w:t>第j个消能器两端的相对水平位移（m）。</w:t>
      </w:r>
    </w:p>
    <w:p>
      <w:pPr>
        <w:ind w:firstLine="420" w:firstLineChars="0"/>
      </w:pPr>
      <w:r>
        <w:rPr>
          <w:rFonts w:hint="eastAsia"/>
        </w:rPr>
        <w:t>当消能器的阻尼系数与结构振动周期有关时，可取相应于消能减震结构基本自振周期的值。</w:t>
      </w:r>
    </w:p>
    <w:p>
      <w:pPr>
        <w:ind w:firstLine="420"/>
      </w:pPr>
      <w:r>
        <w:rPr>
          <w:rFonts w:hint="eastAsia"/>
        </w:rPr>
        <w:t>4 非线性黏滞消能器在水平地震作用下往复循环一周所消耗的能量，可按下式计算：</w:t>
      </w:r>
    </w:p>
    <w:p>
      <w:pPr>
        <w:ind w:firstLine="420"/>
      </w:pPr>
      <m:oMath>
        <m:sSub>
          <m:sSubPr>
            <m:ctrlPr>
              <w:rPr>
                <w:rFonts w:ascii="Cambria Math" w:hAnsi="Cambria Math"/>
              </w:rPr>
            </m:ctrlPr>
          </m:sSubPr>
          <m:e>
            <m:r>
              <m:rPr>
                <m:sty m:val="p"/>
              </m:rPr>
              <w:rPr>
                <w:rFonts w:ascii="Cambria Math" w:hAnsi="Cambria Math"/>
              </w:rPr>
              <m:t>W</m:t>
            </m:r>
            <m:ctrlPr>
              <w:rPr>
                <w:rFonts w:ascii="Cambria Math" w:hAnsi="Cambria Math"/>
              </w:rPr>
            </m:ctrlPr>
          </m:e>
          <m:sub>
            <m:r>
              <m:rPr>
                <m:sty m:val="p"/>
              </m:rPr>
              <w:rPr>
                <w:rFonts w:ascii="Cambria Math" w:hAnsi="Cambria Math"/>
              </w:rPr>
              <m:t>cj</m:t>
            </m:r>
            <m:ctrlPr>
              <w:rPr>
                <w:rFonts w:ascii="Cambria Math" w:hAnsi="Cambria Math"/>
              </w:rPr>
            </m:ctrlPr>
          </m:sub>
        </m:sSub>
      </m:oMath>
      <w:r>
        <w:rPr>
          <w:rFonts w:hint="eastAsia"/>
        </w:rPr>
        <w:t>=</w:t>
      </w:r>
      <m:oMath>
        <m:sSub>
          <m:sSubPr>
            <m:ctrlPr>
              <w:rPr>
                <w:rFonts w:ascii="Cambria Math" w:hAnsi="Cambria Math"/>
              </w:rPr>
            </m:ctrlPr>
          </m:sSubPr>
          <m:e>
            <m:r>
              <w:rPr>
                <w:rFonts w:ascii="Cambria Math" w:hAnsi="Cambria Math"/>
              </w:rPr>
              <m:t>λ</m:t>
            </m:r>
            <m:ctrlPr>
              <w:rPr>
                <w:rFonts w:ascii="Cambria Math" w:hAnsi="Cambria Math"/>
              </w:rPr>
            </m:ctrlPr>
          </m:e>
          <m:sub>
            <m:r>
              <w:rPr>
                <w:rFonts w:ascii="Cambria Math" w:hAnsi="Cambria Math"/>
              </w:rPr>
              <m:t>1</m:t>
            </m:r>
            <m:ctrlPr>
              <w:rPr>
                <w:rFonts w:ascii="Cambria Math" w:hAnsi="Cambria Math"/>
              </w:rPr>
            </m:ctrlPr>
          </m:sub>
        </m:sSub>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djmax</m:t>
            </m:r>
            <m:ctrlPr>
              <w:rPr>
                <w:rFonts w:ascii="Cambria Math" w:hAnsi="Cambria Math"/>
              </w:rPr>
            </m:ctrlPr>
          </m:sub>
        </m:sSub>
        <m:sSub>
          <m:sSubPr>
            <m:ctrlPr>
              <w:rPr>
                <w:rFonts w:ascii="Cambria Math" w:hAnsi="Cambria Math"/>
              </w:rPr>
            </m:ctrlPr>
          </m:sSubPr>
          <m:e>
            <m:r>
              <w:rPr>
                <w:rFonts w:ascii="Cambria Math" w:hAnsi="Cambria Math"/>
              </w:rPr>
              <m:t>∆u</m:t>
            </m:r>
            <m:ctrlPr>
              <w:rPr>
                <w:rFonts w:ascii="Cambria Math" w:hAnsi="Cambria Math"/>
              </w:rPr>
            </m:ctrlPr>
          </m:e>
          <m:sub>
            <m:r>
              <w:rPr>
                <w:rFonts w:ascii="Cambria Math" w:hAnsi="Cambria Math"/>
              </w:rPr>
              <m:t>j</m:t>
            </m:r>
            <m:ctrlPr>
              <w:rPr>
                <w:rFonts w:ascii="Cambria Math" w:hAnsi="Cambria Math"/>
              </w:rPr>
            </m:ctrlPr>
          </m:sub>
        </m:sSub>
      </m:oMath>
      <w:r>
        <w:rPr>
          <w:rFonts w:hint="eastAsia"/>
        </w:rPr>
        <w:t xml:space="preserve">                                                （5.1.10-4）</w:t>
      </w:r>
    </w:p>
    <w:p>
      <w:pPr>
        <w:ind w:left="1155" w:hanging="1155" w:hangingChars="550"/>
      </w:pPr>
      <w:r>
        <w:rPr>
          <w:rFonts w:hint="eastAsia"/>
        </w:rPr>
        <w:t>式中：</w:t>
      </w:r>
      <m:oMath>
        <m:sSub>
          <m:sSubPr>
            <m:ctrlPr>
              <w:rPr>
                <w:rFonts w:ascii="Cambria Math" w:hAnsi="Cambria Math"/>
              </w:rPr>
            </m:ctrlPr>
          </m:sSubPr>
          <m:e>
            <m:r>
              <w:rPr>
                <w:rFonts w:ascii="Cambria Math" w:hAnsi="Cambria Math"/>
              </w:rPr>
              <m:t>λ</m:t>
            </m:r>
            <m:ctrlPr>
              <w:rPr>
                <w:rFonts w:ascii="Cambria Math" w:hAnsi="Cambria Math"/>
              </w:rPr>
            </m:ctrlPr>
          </m:e>
          <m:sub>
            <m:r>
              <w:rPr>
                <w:rFonts w:ascii="Cambria Math" w:hAnsi="Cambria Math"/>
              </w:rPr>
              <m:t>1</m:t>
            </m:r>
            <m:ctrlPr>
              <w:rPr>
                <w:rFonts w:ascii="Cambria Math" w:hAnsi="Cambria Math"/>
              </w:rPr>
            </m:ctrlPr>
          </m:sub>
        </m:sSub>
      </m:oMath>
      <w:r>
        <w:t>—</w:t>
      </w:r>
      <w:r>
        <w:rPr>
          <w:rFonts w:hint="eastAsia"/>
        </w:rPr>
        <w:t>阻尼指数的函数，可按表5.1.3取值；</w:t>
      </w:r>
    </w:p>
    <w:p>
      <w:pPr>
        <w:ind w:firstLine="420" w:firstLineChars="0"/>
      </w:pP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djmax</m:t>
            </m:r>
            <m:ctrlPr>
              <w:rPr>
                <w:rFonts w:ascii="Cambria Math" w:hAnsi="Cambria Math"/>
              </w:rPr>
            </m:ctrlPr>
          </m:sub>
        </m:sSub>
      </m:oMath>
      <w:r>
        <w:t>—</w:t>
      </w:r>
      <w:r>
        <w:rPr>
          <w:rFonts w:hint="eastAsia"/>
        </w:rPr>
        <w:t>第j个消能器在相应水平地震作用下的最大阻尼力（kN）。</w:t>
      </w:r>
    </w:p>
    <w:p>
      <w:pPr>
        <w:ind w:firstLine="420" w:firstLineChars="0"/>
        <w:jc w:val="center"/>
      </w:pPr>
      <w:r>
        <w:rPr>
          <w:rFonts w:hint="eastAsia"/>
        </w:rPr>
        <w:t xml:space="preserve">表5.1.3  </w:t>
      </w:r>
      <m:oMath>
        <m:sSub>
          <m:sSubPr>
            <m:ctrlPr>
              <w:rPr>
                <w:rFonts w:ascii="Cambria Math" w:hAnsi="Cambria Math"/>
              </w:rPr>
            </m:ctrlPr>
          </m:sSubPr>
          <m:e>
            <m:r>
              <w:rPr>
                <w:rFonts w:ascii="Cambria Math" w:hAnsi="Cambria Math"/>
              </w:rPr>
              <m:t>λ</m:t>
            </m:r>
            <m:ctrlPr>
              <w:rPr>
                <w:rFonts w:ascii="Cambria Math" w:hAnsi="Cambria Math"/>
              </w:rPr>
            </m:ctrlPr>
          </m:e>
          <m:sub>
            <m:r>
              <w:rPr>
                <w:rFonts w:ascii="Cambria Math" w:hAnsi="Cambria Math"/>
              </w:rPr>
              <m:t>1</m:t>
            </m:r>
            <m:ctrlPr>
              <w:rPr>
                <w:rFonts w:ascii="Cambria Math" w:hAnsi="Cambria Math"/>
              </w:rPr>
            </m:ctrlPr>
          </m:sub>
        </m:sSub>
      </m:oMath>
      <w:r>
        <w:rPr>
          <w:rFonts w:hint="eastAsia"/>
        </w:rPr>
        <w:t>值</w:t>
      </w:r>
    </w:p>
    <w:tbl>
      <w:tblPr>
        <w:tblStyle w:val="42"/>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4" w:type="dxa"/>
          </w:tcPr>
          <w:p>
            <w:pPr>
              <w:ind w:firstLine="0" w:firstLineChars="0"/>
              <w:jc w:val="center"/>
            </w:pPr>
            <w:r>
              <w:rPr>
                <w:rFonts w:hint="eastAsia"/>
              </w:rPr>
              <w:t>阻尼指数</w:t>
            </w:r>
            <m:oMath>
              <m:r>
                <m:rPr>
                  <m:sty m:val="p"/>
                </m:rPr>
                <w:rPr>
                  <w:rFonts w:ascii="Cambria Math" w:hAnsi="Cambria Math"/>
                </w:rPr>
                <m:t>α</m:t>
              </m:r>
            </m:oMath>
          </w:p>
        </w:tc>
        <w:tc>
          <w:tcPr>
            <w:tcW w:w="4264" w:type="dxa"/>
          </w:tcPr>
          <w:p>
            <w:pPr>
              <w:ind w:firstLine="0" w:firstLineChars="0"/>
              <w:jc w:val="center"/>
            </w:pPr>
            <m:oMath>
              <m:sSub>
                <m:sSubPr>
                  <m:ctrlPr>
                    <w:rPr>
                      <w:rFonts w:ascii="Cambria Math" w:hAnsi="Cambria Math"/>
                    </w:rPr>
                  </m:ctrlPr>
                </m:sSubPr>
                <m:e>
                  <m:r>
                    <w:rPr>
                      <w:rFonts w:ascii="Cambria Math" w:hAnsi="Cambria Math"/>
                    </w:rPr>
                    <m:t>λ</m:t>
                  </m:r>
                  <m:ctrlPr>
                    <w:rPr>
                      <w:rFonts w:ascii="Cambria Math" w:hAnsi="Cambria Math"/>
                    </w:rPr>
                  </m:ctrlPr>
                </m:e>
                <m:sub>
                  <m:r>
                    <w:rPr>
                      <w:rFonts w:ascii="Cambria Math" w:hAnsi="Cambria Math"/>
                    </w:rPr>
                    <m:t>1</m:t>
                  </m:r>
                  <m:ctrlPr>
                    <w:rPr>
                      <w:rFonts w:ascii="Cambria Math" w:hAnsi="Cambria Math"/>
                    </w:rPr>
                  </m:ctrlPr>
                </m:sub>
              </m:sSub>
            </m:oMath>
            <w:r>
              <w:rPr>
                <w:rFonts w:hint="eastAsia"/>
              </w:rPr>
              <w:t>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4" w:type="dxa"/>
          </w:tcPr>
          <w:p>
            <w:pPr>
              <w:ind w:firstLine="0" w:firstLineChars="0"/>
              <w:jc w:val="center"/>
            </w:pPr>
            <w:r>
              <w:rPr>
                <w:rFonts w:hint="eastAsia"/>
              </w:rPr>
              <w:t>0.25</w:t>
            </w:r>
          </w:p>
        </w:tc>
        <w:tc>
          <w:tcPr>
            <w:tcW w:w="4264" w:type="dxa"/>
          </w:tcPr>
          <w:p>
            <w:pPr>
              <w:ind w:firstLine="0" w:firstLineChars="0"/>
              <w:jc w:val="center"/>
            </w:pPr>
            <w:r>
              <w:rPr>
                <w:rFonts w:hint="eastAsia"/>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4" w:type="dxa"/>
          </w:tcPr>
          <w:p>
            <w:pPr>
              <w:ind w:firstLine="0" w:firstLineChars="0"/>
              <w:jc w:val="center"/>
            </w:pPr>
            <w:r>
              <w:rPr>
                <w:rFonts w:hint="eastAsia"/>
              </w:rPr>
              <w:t>0.5</w:t>
            </w:r>
          </w:p>
        </w:tc>
        <w:tc>
          <w:tcPr>
            <w:tcW w:w="4264" w:type="dxa"/>
          </w:tcPr>
          <w:p>
            <w:pPr>
              <w:ind w:firstLine="0" w:firstLineChars="0"/>
              <w:jc w:val="center"/>
            </w:pPr>
            <w:r>
              <w:rPr>
                <w:rFonts w:hint="eastAsia"/>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4" w:type="dxa"/>
          </w:tcPr>
          <w:p>
            <w:pPr>
              <w:ind w:firstLine="0" w:firstLineChars="0"/>
              <w:jc w:val="center"/>
            </w:pPr>
            <w:r>
              <w:rPr>
                <w:rFonts w:hint="eastAsia"/>
              </w:rPr>
              <w:t>0.75</w:t>
            </w:r>
          </w:p>
        </w:tc>
        <w:tc>
          <w:tcPr>
            <w:tcW w:w="4264" w:type="dxa"/>
          </w:tcPr>
          <w:p>
            <w:pPr>
              <w:ind w:firstLine="0" w:firstLineChars="0"/>
              <w:jc w:val="center"/>
            </w:pPr>
            <w:r>
              <w:rPr>
                <w:rFonts w:hint="eastAsia"/>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4" w:type="dxa"/>
          </w:tcPr>
          <w:p>
            <w:pPr>
              <w:ind w:firstLine="0" w:firstLineChars="0"/>
              <w:jc w:val="center"/>
            </w:pPr>
            <w:r>
              <w:rPr>
                <w:rFonts w:hint="eastAsia"/>
              </w:rPr>
              <w:t>1</w:t>
            </w:r>
          </w:p>
        </w:tc>
        <w:tc>
          <w:tcPr>
            <w:tcW w:w="4264" w:type="dxa"/>
          </w:tcPr>
          <w:p>
            <w:pPr>
              <w:ind w:firstLine="0" w:firstLineChars="0"/>
              <w:jc w:val="center"/>
            </w:pPr>
            <w:r>
              <w:rPr>
                <w:rFonts w:hint="eastAsia"/>
              </w:rPr>
              <w:t>3.1</w:t>
            </w:r>
          </w:p>
        </w:tc>
      </w:tr>
    </w:tbl>
    <w:p>
      <w:pPr>
        <w:ind w:firstLine="0" w:firstLineChars="0"/>
      </w:pPr>
      <w:r>
        <w:rPr>
          <w:rFonts w:hint="eastAsia"/>
        </w:rPr>
        <w:t>注：其他阻尼指数对应的</w:t>
      </w:r>
      <m:oMath>
        <m:sSub>
          <m:sSubPr>
            <m:ctrlPr>
              <w:rPr>
                <w:rFonts w:ascii="Cambria Math" w:hAnsi="Cambria Math"/>
              </w:rPr>
            </m:ctrlPr>
          </m:sSubPr>
          <m:e>
            <m:r>
              <w:rPr>
                <w:rFonts w:ascii="Cambria Math" w:hAnsi="Cambria Math"/>
              </w:rPr>
              <m:t>λ</m:t>
            </m:r>
            <m:ctrlPr>
              <w:rPr>
                <w:rFonts w:ascii="Cambria Math" w:hAnsi="Cambria Math"/>
              </w:rPr>
            </m:ctrlPr>
          </m:e>
          <m:sub>
            <m:r>
              <w:rPr>
                <w:rFonts w:ascii="Cambria Math" w:hAnsi="Cambria Math"/>
              </w:rPr>
              <m:t>1</m:t>
            </m:r>
            <m:ctrlPr>
              <w:rPr>
                <w:rFonts w:ascii="Cambria Math" w:hAnsi="Cambria Math"/>
              </w:rPr>
            </m:ctrlPr>
          </m:sub>
        </m:sSub>
      </m:oMath>
      <w:r>
        <w:rPr>
          <w:rFonts w:hint="eastAsia"/>
        </w:rPr>
        <w:t>值可线性插值。</w:t>
      </w:r>
    </w:p>
    <w:p>
      <w:pPr>
        <w:pStyle w:val="4"/>
        <w:rPr>
          <w:color w:val="auto"/>
        </w:rPr>
      </w:pPr>
      <w:bookmarkStart w:id="29" w:name="_Ref507062943"/>
      <w:r>
        <w:rPr>
          <w:rFonts w:hint="eastAsia"/>
          <w:color w:val="auto"/>
        </w:rPr>
        <w:t>减震结构弹塑性动力分析</w:t>
      </w:r>
      <w:bookmarkEnd w:id="29"/>
    </w:p>
    <w:p>
      <w:pPr>
        <w:ind w:firstLine="420" w:firstLineChars="0"/>
      </w:pPr>
      <w:r>
        <w:rPr>
          <w:rFonts w:hint="eastAsia"/>
        </w:rPr>
        <w:t>1.  SAP2000所提供的动力时程分析是一个全三维的有限元分析，而且能够考虑计算结构在整个地震作用过程中每一时刻的内力和变形状态值，如果在时程分析过程中考虑框架单元的材料非线性（塑性铰），则非线性时程分析就可以给出结构在罕遇地震作用下构件屈服顺序，发现应力和塑性变形集中的部位，给出整个结构的屈服机制，对结构概念设计提供相应调整意见，这也是进行弹塑性时程分析的意义。动力弹塑性分析首先要定义框架单元的塑性铰和分层壳单元以模拟结构非线性行为。</w:t>
      </w:r>
      <w:r>
        <w:t>在SAP2000中，使用连接单元</w:t>
      </w:r>
      <w:r>
        <w:rPr>
          <w:rFonts w:hint="eastAsia"/>
        </w:rPr>
        <w:t>damper</w:t>
      </w:r>
      <w:r>
        <w:t>模拟黏滞消能器，主体结构框架梁、柱均定义塑性铰</w:t>
      </w:r>
      <w:r>
        <w:rPr>
          <w:rFonts w:hint="eastAsia"/>
        </w:rPr>
        <w:t>，消能子结构除外</w:t>
      </w:r>
      <w:r>
        <w:t>。</w:t>
      </w:r>
    </w:p>
    <w:p>
      <w:pPr>
        <w:ind w:firstLine="420"/>
      </w:pPr>
      <w:r>
        <w:t>弹塑性时程分析过程考虑材料非线性；采用小变形假定；不考虑结构的几何非线性。对于运动微分方程的求解，选择程序提供的Hilber-Hughes-Taylor逐步积分法，γ取0.5，β值取0.25， Alpha系数为0。弹塑性时程分析过程中，</w:t>
      </w:r>
      <w:r>
        <w:rPr>
          <w:rFonts w:hint="eastAsia"/>
          <w:bCs/>
        </w:rPr>
        <w:t>应采用</w:t>
      </w:r>
      <w:r>
        <w:rPr>
          <w:bCs/>
        </w:rPr>
        <w:t>弹性时程分析的地震波</w:t>
      </w:r>
      <w:r>
        <w:rPr>
          <w:rFonts w:hint="eastAsia"/>
          <w:bCs/>
        </w:rPr>
        <w:t>，并</w:t>
      </w:r>
      <w:r>
        <w:rPr>
          <w:bCs/>
        </w:rPr>
        <w:t>根据规范进行调幅</w:t>
      </w:r>
      <w:r>
        <w:rPr>
          <w:rFonts w:hint="eastAsia"/>
          <w:bCs/>
        </w:rPr>
        <w:t>；再</w:t>
      </w:r>
      <w:r>
        <w:rPr>
          <w:bCs/>
        </w:rPr>
        <w:t>进行计算分析，最终结果取</w:t>
      </w:r>
      <w:r>
        <w:rPr>
          <w:rFonts w:hint="eastAsia"/>
          <w:bCs/>
        </w:rPr>
        <w:t>七</w:t>
      </w:r>
      <w:r>
        <w:rPr>
          <w:bCs/>
        </w:rPr>
        <w:t>条地震波作用下的</w:t>
      </w:r>
      <w:r>
        <w:rPr>
          <w:rFonts w:hint="eastAsia"/>
          <w:bCs/>
        </w:rPr>
        <w:t>平均值。</w:t>
      </w:r>
    </w:p>
    <w:p>
      <w:pPr>
        <w:ind w:firstLine="0" w:firstLineChars="0"/>
      </w:pPr>
      <w:r>
        <w:rPr>
          <w:rFonts w:hint="eastAsia"/>
        </w:rPr>
        <w:t>2.  根据《建筑消能减震技术规程》（JGJ 297-2013）的第6.2.2条第4款：消能减震结构布置消能部件的楼层中，消能器的最大阻尼力在水平方向上分量之和不宜大于楼层层间屈服剪力的60%。</w:t>
      </w:r>
    </w:p>
    <w:p>
      <w:pPr>
        <w:pStyle w:val="4"/>
        <w:rPr>
          <w:color w:val="auto"/>
        </w:rPr>
      </w:pPr>
      <w:bookmarkStart w:id="30" w:name="_Ref507062993"/>
      <w:r>
        <w:rPr>
          <w:rFonts w:hint="eastAsia"/>
          <w:color w:val="auto"/>
        </w:rPr>
        <w:t>配筋包络设计</w:t>
      </w:r>
      <w:bookmarkEnd w:id="30"/>
    </w:p>
    <w:p>
      <w:pPr>
        <w:ind w:firstLine="420"/>
        <w:rPr>
          <w:sz w:val="24"/>
          <w:szCs w:val="24"/>
        </w:rPr>
      </w:pPr>
      <w:r>
        <w:rPr>
          <w:rFonts w:hint="eastAsia"/>
        </w:rPr>
        <w:t>在进行设防地震或罕遇地震作用下的结构分析时，应按4.1.12及4.1.13条</w:t>
      </w:r>
      <w:r>
        <w:t>执行</w:t>
      </w:r>
      <w:r>
        <w:rPr>
          <w:rFonts w:hint="eastAsia"/>
        </w:rPr>
        <w:t>。</w:t>
      </w:r>
    </w:p>
    <w:p>
      <w:pPr>
        <w:pStyle w:val="4"/>
        <w:rPr>
          <w:color w:val="auto"/>
        </w:rPr>
      </w:pPr>
      <w:bookmarkStart w:id="31" w:name="_Ref507062998"/>
      <w:r>
        <w:rPr>
          <w:rFonts w:hint="eastAsia"/>
          <w:color w:val="auto"/>
        </w:rPr>
        <w:t>消能器周边构件设计及计算</w:t>
      </w:r>
      <w:bookmarkEnd w:id="31"/>
    </w:p>
    <w:p>
      <w:pPr>
        <w:ind w:firstLine="420"/>
      </w:pPr>
      <w:r>
        <w:rPr>
          <w:rFonts w:hint="eastAsia"/>
        </w:rPr>
        <w:t>消能器周围的框架及节点，以大震下构件的弹性内力进行配筋，材料强度采用标准值（极限值）；与之相邻的框架梁、柱根据《建筑抗震设计规范》GB50011-2010第6.2.2条要求计算设计满足“强柱弱梁”，同时根据《建筑抗震设计规范》GB50011-2010第6.2.4条要求计算设计以满足“强剪弱弯”。</w:t>
      </w:r>
    </w:p>
    <w:p>
      <w:pPr>
        <w:ind w:firstLine="0" w:firstLineChars="0"/>
        <w:rPr>
          <w:sz w:val="24"/>
          <w:szCs w:val="24"/>
        </w:rPr>
      </w:pPr>
    </w:p>
    <w:p>
      <w:pPr>
        <w:pStyle w:val="3"/>
      </w:pPr>
      <w:bookmarkStart w:id="32" w:name="_Toc517273852"/>
      <w:r>
        <w:rPr>
          <w:rFonts w:hint="eastAsia"/>
        </w:rPr>
        <w:t>位移相关型消能器减震结构设计流程</w:t>
      </w:r>
      <w:bookmarkEnd w:id="32"/>
    </w:p>
    <w:p>
      <w:pPr>
        <w:pStyle w:val="4"/>
        <w:rPr>
          <w:color w:val="auto"/>
        </w:rPr>
      </w:pPr>
      <w:r>
        <w:rPr>
          <w:rFonts w:hint="eastAsia"/>
          <w:color w:val="auto"/>
        </w:rPr>
        <w:t>位移相关型消能器</w:t>
      </w:r>
    </w:p>
    <w:p>
      <w:pPr>
        <w:ind w:firstLine="420"/>
      </w:pPr>
      <w:r>
        <w:rPr>
          <w:rFonts w:hint="eastAsia"/>
        </w:rPr>
        <w:t>位移相关型消能器主要包括软钢阻尼器、摩擦阻尼器及与速度相关性较小的黏弹阻尼器。通常需要与支撑、悬臂墙进行组合，并为结构提供一定初始附加刚度，当位移相关型消能器进入耗能状态后，其附加刚度将发生较大的变化（消能器屈服后刚度相对于初始弹性刚度也较小），消能器的等效线性刚度取割线刚度，等效阻尼按能量相等原理等效为线性黏滞阻尼。</w:t>
      </w:r>
    </w:p>
    <w:p>
      <w:pPr>
        <w:ind w:firstLine="420"/>
      </w:pPr>
      <w:r>
        <w:rPr>
          <w:rFonts w:hint="eastAsia"/>
        </w:rPr>
        <w:t>软钢消能器利用软钢作为能量吸收材料，利用钢材的屈服即塑性变形吸收振动能量。软钢消能器的阻尼力主要是由软钢的塑性应变量，即塑性位移决定的，目前在日本应用广泛。根据软钢消能器钢材的屈服形式，有轴向屈服型、剪切屈服型、弯曲屈服型、扭转屈服型等。</w:t>
      </w:r>
    </w:p>
    <w:p>
      <w:pPr>
        <w:ind w:firstLine="420"/>
      </w:pPr>
      <w:r>
        <w:rPr>
          <w:rFonts w:hint="eastAsia"/>
        </w:rPr>
        <w:t>摩擦阻尼器是通过两个接触表面相互作用引形成滑动摩擦阻力，将机械运动转化为分子运动、将机械能转化为热能，形成能量耗损。</w:t>
      </w:r>
    </w:p>
    <w:p>
      <w:pPr>
        <w:ind w:firstLine="420"/>
      </w:pPr>
      <w:r>
        <w:rPr>
          <w:rFonts w:hint="eastAsia"/>
        </w:rPr>
        <w:t>黏弹性阻尼器主要使黏弹性材料产生往复的剪切变形，从而产生滞回变形以吸收和耗散能量，为结构提供附加的刚度和阻尼，减小结构的动力反应，达到减震的目的。</w:t>
      </w:r>
    </w:p>
    <w:p>
      <w:pPr>
        <w:ind w:firstLine="420"/>
      </w:pPr>
      <w:r>
        <w:rPr>
          <w:rFonts w:hint="eastAsia"/>
        </w:rPr>
        <w:t>根据以往的工程设计实例，采用位移相关型消能器的减震结构的实用设计流程可用图5.</w:t>
      </w:r>
      <w:r>
        <w:t>2</w:t>
      </w:r>
      <w:r>
        <w:rPr>
          <w:rFonts w:hint="eastAsia"/>
        </w:rPr>
        <w:t>.1加以描述。</w:t>
      </w:r>
    </w:p>
    <w:p>
      <w:pPr>
        <w:ind w:firstLine="0" w:firstLineChars="0"/>
        <w:rPr>
          <w:sz w:val="24"/>
          <w:szCs w:val="24"/>
        </w:rPr>
      </w:pPr>
      <w:r>
        <w:rPr>
          <w:rFonts w:hint="eastAsia"/>
        </w:rPr>
        <w:drawing>
          <wp:inline distT="0" distB="0" distL="114300" distR="114300">
            <wp:extent cx="5272405" cy="5506720"/>
            <wp:effectExtent l="0" t="0" r="4445" b="17780"/>
            <wp:docPr id="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pic:cNvPicPr>
                      <a:picLocks noChangeAspect="1"/>
                    </pic:cNvPicPr>
                  </pic:nvPicPr>
                  <pic:blipFill>
                    <a:blip r:embed="rId17" cstate="print"/>
                    <a:stretch>
                      <a:fillRect/>
                    </a:stretch>
                  </pic:blipFill>
                  <pic:spPr>
                    <a:xfrm>
                      <a:off x="0" y="0"/>
                      <a:ext cx="5272405" cy="5506720"/>
                    </a:xfrm>
                    <a:prstGeom prst="rect">
                      <a:avLst/>
                    </a:prstGeom>
                    <a:noFill/>
                    <a:ln w="9525">
                      <a:noFill/>
                    </a:ln>
                  </pic:spPr>
                </pic:pic>
              </a:graphicData>
            </a:graphic>
          </wp:inline>
        </w:drawing>
      </w:r>
      <w:r>
        <w:rPr>
          <w:rFonts w:hint="eastAsia"/>
          <w:sz w:val="24"/>
          <w:szCs w:val="24"/>
        </w:rPr>
        <w:t xml:space="preserve"> </w:t>
      </w:r>
    </w:p>
    <w:p>
      <w:pPr>
        <w:ind w:firstLine="0" w:firstLineChars="0"/>
        <w:jc w:val="center"/>
        <w:rPr>
          <w:sz w:val="24"/>
          <w:szCs w:val="24"/>
        </w:rPr>
      </w:pPr>
      <w:r>
        <w:rPr>
          <w:rFonts w:hint="eastAsia"/>
          <w:sz w:val="24"/>
          <w:szCs w:val="24"/>
        </w:rPr>
        <w:t>图5.</w:t>
      </w:r>
      <w:r>
        <w:rPr>
          <w:sz w:val="24"/>
          <w:szCs w:val="24"/>
        </w:rPr>
        <w:t>2</w:t>
      </w:r>
      <w:r>
        <w:rPr>
          <w:rFonts w:hint="eastAsia"/>
          <w:sz w:val="24"/>
          <w:szCs w:val="24"/>
        </w:rPr>
        <w:t>.1   位移型消能器减震结构的实用设计流程图</w:t>
      </w:r>
    </w:p>
    <w:p>
      <w:pPr>
        <w:pStyle w:val="4"/>
        <w:rPr>
          <w:color w:val="auto"/>
        </w:rPr>
      </w:pPr>
      <w:r>
        <w:rPr>
          <w:rFonts w:hint="eastAsia"/>
          <w:color w:val="auto"/>
        </w:rPr>
        <w:t>确定减震目标和性能目标</w:t>
      </w:r>
    </w:p>
    <w:p>
      <w:pPr>
        <w:ind w:firstLine="0" w:firstLineChars="0"/>
        <w:rPr>
          <w:sz w:val="24"/>
          <w:szCs w:val="24"/>
        </w:rPr>
      </w:pPr>
      <w:r>
        <w:rPr>
          <w:rFonts w:hint="eastAsia"/>
        </w:rPr>
        <w:t xml:space="preserve">    由于位移型消能器可为主体结构提供附加刚度及附加阻尼比，实际工程中需要根据项目情况来确定减震目标，最终确定阻尼器是仅为结构附加刚度，还是阻尼比与刚度均要附加。同时确定的结构的性能目标需满足参考4.1.1相关要求。</w:t>
      </w:r>
    </w:p>
    <w:p>
      <w:pPr>
        <w:pStyle w:val="4"/>
        <w:rPr>
          <w:color w:val="auto"/>
        </w:rPr>
      </w:pPr>
      <w:r>
        <w:rPr>
          <w:rFonts w:hint="eastAsia"/>
          <w:color w:val="auto"/>
        </w:rPr>
        <w:t>确定主结构附加刚度和附加阻尼比</w:t>
      </w:r>
    </w:p>
    <w:p>
      <w:pPr>
        <w:ind w:firstLine="420"/>
      </w:pPr>
      <w:r>
        <w:rPr>
          <w:rFonts w:hint="eastAsia"/>
        </w:rPr>
        <w:t>在位移型消能器减震结构设计中，主要依据预期的水平向地震力和位移控制要求及耗能等参数，估算出减震结构所需附加刚度和附加阻尼比，据此选择合适的消能器型号，并配置在适当的位置。</w:t>
      </w:r>
    </w:p>
    <w:p>
      <w:pPr>
        <w:ind w:firstLine="420"/>
      </w:pPr>
      <w:r>
        <w:rPr>
          <w:rFonts w:hint="eastAsia"/>
        </w:rPr>
        <w:t>消能减震结构的总阻尼比应为结构阻尼比和消能部件附加给结构的有效阻尼比的总和，消能减震结构刚度</w:t>
      </w:r>
      <w:r>
        <w:t>为</w:t>
      </w:r>
      <w:r>
        <w:rPr>
          <w:rFonts w:hint="eastAsia"/>
        </w:rPr>
        <w:t>消能部件</w:t>
      </w:r>
      <w:r>
        <w:t>附加</w:t>
      </w:r>
      <w:r>
        <w:rPr>
          <w:rFonts w:hint="eastAsia"/>
        </w:rPr>
        <w:t>有效</w:t>
      </w:r>
      <w:r>
        <w:t>刚度与主结构刚度之和</w:t>
      </w:r>
      <w:r>
        <w:rPr>
          <w:rFonts w:hint="eastAsia"/>
        </w:rPr>
        <w:t>。本导则采用结构设计软件（SATWE或YJK）试算的方式，</w:t>
      </w:r>
      <w:r>
        <w:t>确定</w:t>
      </w:r>
      <w:r>
        <w:rPr>
          <w:rFonts w:hint="eastAsia"/>
        </w:rPr>
        <w:t>SATWE或YJK软件中反应谱分析的等代支撑刚度和</w:t>
      </w:r>
      <w:r>
        <w:t>附加阻尼比</w:t>
      </w:r>
      <w:r>
        <w:rPr>
          <w:rFonts w:hint="eastAsia"/>
        </w:rPr>
        <w:t>.</w:t>
      </w:r>
    </w:p>
    <w:p>
      <w:pPr>
        <w:pStyle w:val="4"/>
        <w:rPr>
          <w:color w:val="auto"/>
        </w:rPr>
      </w:pPr>
      <w:bookmarkStart w:id="33" w:name="_Ref507063411"/>
      <w:r>
        <w:rPr>
          <w:rFonts w:hint="eastAsia"/>
          <w:color w:val="auto"/>
        </w:rPr>
        <w:t>消能器的选择</w:t>
      </w:r>
      <w:bookmarkEnd w:id="33"/>
    </w:p>
    <w:p>
      <w:pPr>
        <w:ind w:firstLine="0" w:firstLineChars="0"/>
      </w:pPr>
      <w:r>
        <w:rPr>
          <w:rFonts w:hint="eastAsia"/>
        </w:rPr>
        <w:t xml:space="preserve">     消能器的选择包括消能器类型和规格的选择。在概念设计阶段，消能器类型的选择应综合考虑结构类型、使用功能、周围环境、设防目标、消能器耗能机理、价格及安装、施工、维修费用等因素。同时阻尼器的力学性能主要满足现行相关规范的规定。</w:t>
      </w:r>
    </w:p>
    <w:p>
      <w:pPr>
        <w:pStyle w:val="4"/>
        <w:rPr>
          <w:color w:val="auto"/>
        </w:rPr>
      </w:pPr>
      <w:r>
        <w:rPr>
          <w:rFonts w:hint="eastAsia"/>
          <w:color w:val="auto"/>
        </w:rPr>
        <w:t>确定消能器型式、位置和数量</w:t>
      </w:r>
    </w:p>
    <w:p>
      <w:pPr>
        <w:ind w:firstLine="0" w:firstLineChars="0"/>
      </w:pPr>
      <w:r>
        <w:rPr>
          <w:rFonts w:hint="eastAsia"/>
        </w:rPr>
        <w:t xml:space="preserve">   1 根据消能器的特点和建筑上使用要求选用合理的布置形式，相同的消能器安装形式不同，则消能器发挥的作用不同。消能器的安装型式应尽量考虑不影响建筑功能，工程中常采用的安装形式有“人”字形连接、“V” 字形连接和墙式连接。</w:t>
      </w:r>
    </w:p>
    <w:p>
      <w:pPr>
        <w:ind w:firstLine="360" w:firstLineChars="150"/>
      </w:pPr>
      <w:r>
        <w:rPr>
          <w:rFonts w:hint="eastAsia"/>
          <w:sz w:val="24"/>
          <w:szCs w:val="24"/>
        </w:rPr>
        <w:t xml:space="preserve">2 </w:t>
      </w:r>
      <w:r>
        <w:rPr>
          <w:rFonts w:hint="eastAsia"/>
        </w:rPr>
        <w:t>确定消能器安装位置</w:t>
      </w:r>
    </w:p>
    <w:p>
      <w:pPr>
        <w:ind w:firstLine="0" w:firstLineChars="0"/>
      </w:pPr>
      <w:r>
        <w:rPr>
          <w:rFonts w:hint="eastAsia"/>
        </w:rPr>
        <w:t xml:space="preserve">   消能部件的布置一般宜按结构两个主轴方向设置，并宜设置在结构相对变形较大的部位，其数量和分布应通过综合分析合理确定，以为结构提供适当的附加阻尼和刚度，并保证消能器在地震作用下具有良好的消能能力。</w:t>
      </w:r>
    </w:p>
    <w:p>
      <w:pPr>
        <w:ind w:right="189" w:rightChars="90" w:firstLine="420"/>
        <w:jc w:val="left"/>
      </w:pPr>
      <w:r>
        <w:rPr>
          <w:rFonts w:hint="eastAsia"/>
        </w:rPr>
        <w:t>消能器在楼层平面内的布置应遵循“均匀、分散、对称、周边”的原则。应尽量考虑不影响建筑功能的前提下，安装于便于检查、维修和更换的位置。</w:t>
      </w:r>
      <w:r>
        <w:t>需要注意的是某一层的消能器数量不能太多，当某一层所需的消能器过多时，可以将其安装到下面</w:t>
      </w:r>
      <w:r>
        <w:rPr>
          <w:rFonts w:hint="eastAsia"/>
        </w:rPr>
        <w:t>临近楼层中</w:t>
      </w:r>
      <w:r>
        <w:t>层间位移较大的楼层，计算结果证明消能器对其上部临近几层的减震效果要好于下部几层，通过这种方法确定的消能器安装位置能</w:t>
      </w:r>
      <w:r>
        <w:rPr>
          <w:rFonts w:hint="eastAsia"/>
        </w:rPr>
        <w:t>够很好的提高消能器的</w:t>
      </w:r>
      <w:r>
        <w:t>减震效果，</w:t>
      </w:r>
      <w:r>
        <w:rPr>
          <w:rFonts w:hint="eastAsia"/>
        </w:rPr>
        <w:t>同时还要求消能器基本满足</w:t>
      </w:r>
      <w:r>
        <w:t>沿楼层连续布置。</w:t>
      </w:r>
      <w:r>
        <w:rPr>
          <w:rFonts w:hint="eastAsia"/>
        </w:rPr>
        <w:t>实际工程应用中，消能器布置也可采用简单考虑重要部位的楼层均匀布置的方法进行消能器的布置。</w:t>
      </w:r>
    </w:p>
    <w:p>
      <w:pPr>
        <w:pStyle w:val="4"/>
        <w:rPr>
          <w:color w:val="auto"/>
        </w:rPr>
      </w:pPr>
      <w:r>
        <w:rPr>
          <w:rFonts w:hint="eastAsia"/>
          <w:color w:val="auto"/>
        </w:rPr>
        <w:t>确定消能器参数</w:t>
      </w:r>
    </w:p>
    <w:p>
      <w:pPr>
        <w:ind w:right="88" w:rightChars="42" w:firstLine="420"/>
        <w:jc w:val="left"/>
      </w:pPr>
      <w:r>
        <w:rPr>
          <w:rFonts w:hint="eastAsia"/>
        </w:rPr>
        <w:t>采用位移型消能器的减震结构，工程上部结构采用SATWE或YJK软件，利用线性等效方法，用一对等代杆或单斜杆来模拟消能器，在进行消能减震设计时，确保剪切型消能器与实际斜撑串联的刚度与SATWE或YJK计算模型中的等代支撑刚度相等。消能器参数估算方法具体如下：</w:t>
      </w:r>
    </w:p>
    <w:p>
      <w:pPr>
        <w:ind w:right="189" w:rightChars="90" w:firstLine="420"/>
        <w:jc w:val="left"/>
      </w:pPr>
      <w:r>
        <w:rPr>
          <w:rFonts w:hint="eastAsia"/>
        </w:rPr>
        <w:t>1）根据SATWE或YJK软件中附加刚度和附加阻尼比的要求确定等代支撑大小及截面形式，截面面积</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oMath>
    </w:p>
    <w:p>
      <w:pPr>
        <w:ind w:right="189" w:rightChars="90" w:firstLine="420"/>
        <w:jc w:val="left"/>
      </w:pPr>
      <w:r>
        <w:rPr>
          <w:rFonts w:hint="eastAsia"/>
        </w:rPr>
        <w:t>2）等代支撑刚度</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 E</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sSup>
          <m:sSupPr>
            <m:ctrlPr>
              <w:rPr>
                <w:rFonts w:ascii="Cambria Math" w:hAnsi="Cambria Math"/>
              </w:rPr>
            </m:ctrlPr>
          </m:sSupPr>
          <m:e>
            <m:r>
              <m:rPr>
                <m:sty m:val="p"/>
              </m:rPr>
              <w:rPr>
                <w:rFonts w:ascii="Cambria Math" w:hAnsi="Cambria Math"/>
              </w:rPr>
              <m:t>cos</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β</m:t>
        </m:r>
      </m:oMath>
      <w:r>
        <w:rPr>
          <w:rFonts w:hint="eastAsia"/>
        </w:rPr>
        <w:t>/</w:t>
      </w:r>
      <m:oMath>
        <m:sSub>
          <m:sSubPr>
            <m:ctrlPr>
              <w:rPr>
                <w:rFonts w:ascii="Cambria Math" w:hAnsi="Cambria Math"/>
              </w:rPr>
            </m:ctrlPr>
          </m:sSubPr>
          <m:e>
            <m:r>
              <m:rPr>
                <m:sty m:val="p"/>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为单斜等代支撑的截面面积,</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为等代杆的长度，</w:t>
      </w:r>
      <m:oMath>
        <m:r>
          <m:rPr>
            <m:sty m:val="p"/>
          </m:rPr>
          <w:rPr>
            <w:rFonts w:ascii="Cambria Math" w:hAnsi="Cambria Math"/>
          </w:rPr>
          <m:t>β</m:t>
        </m:r>
      </m:oMath>
      <w:r>
        <w:rPr>
          <w:rFonts w:hint="eastAsia"/>
        </w:rPr>
        <w:t>为等代支撑与水平向夹角。</w:t>
      </w:r>
    </w:p>
    <w:p>
      <w:pPr>
        <w:ind w:right="189" w:rightChars="90" w:firstLine="407" w:firstLineChars="194"/>
        <w:jc w:val="left"/>
      </w:pPr>
      <w:r>
        <w:rPr>
          <w:rFonts w:hint="eastAsia"/>
        </w:rPr>
        <w:t>3）选取实际支撑的截面尺寸，保证支撑在大震下具有足够的刚度和稳定性，且保持弹性为准，得到实际支撑截面面积</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w:t>
      </w:r>
    </w:p>
    <w:p>
      <w:pPr>
        <w:ind w:right="189" w:rightChars="90" w:firstLine="420"/>
        <w:jc w:val="left"/>
      </w:pPr>
      <w:r>
        <w:rPr>
          <w:rFonts w:hint="eastAsia"/>
        </w:rPr>
        <w:t>4）实际支撑的刚度</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=E</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w:t>
      </w:r>
      <m:oMath>
        <m:sSub>
          <m:sSubPr>
            <m:ctrlPr>
              <w:rPr>
                <w:rFonts w:ascii="Cambria Math" w:hAnsi="Cambria Math"/>
              </w:rPr>
            </m:ctrlPr>
          </m:sSubPr>
          <m:e>
            <m:r>
              <m:rPr>
                <m:sty m:val="p"/>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 E为钢材的弹性模量，</w:t>
      </w:r>
      <m:oMath>
        <m:sSub>
          <m:sSubPr>
            <m:ctrlPr>
              <w:rPr>
                <w:rFonts w:ascii="Cambria Math" w:hAnsi="Cambria Math"/>
              </w:rPr>
            </m:ctrlPr>
          </m:sSubPr>
          <m:e>
            <m:r>
              <m:rPr>
                <m:sty m:val="p"/>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为实际支撑长度；</w:t>
      </w:r>
    </w:p>
    <w:p>
      <w:pPr>
        <w:ind w:right="189" w:rightChars="90" w:firstLine="420"/>
        <w:jc w:val="left"/>
      </w:pPr>
      <w:r>
        <w:rPr>
          <w:rFonts w:hint="eastAsia"/>
        </w:rPr>
        <w:t>5）一对实际支撑水平刚度</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3</m:t>
            </m:r>
            <m:ctrlPr>
              <w:rPr>
                <w:rFonts w:ascii="Cambria Math" w:hAnsi="Cambria Math"/>
              </w:rPr>
            </m:ctrlPr>
          </m:sub>
        </m:sSub>
      </m:oMath>
      <w:r>
        <w:rPr>
          <w:rFonts w:hint="eastAsia"/>
        </w:rPr>
        <w:t>=2</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1</m:t>
            </m:r>
            <m:ctrlPr>
              <w:rPr>
                <w:rFonts w:ascii="Cambria Math" w:hAnsi="Cambria Math"/>
              </w:rPr>
            </m:ctrlPr>
          </m:sub>
        </m:sSub>
        <m:sSup>
          <m:sSupPr>
            <m:ctrlPr>
              <w:rPr>
                <w:rFonts w:ascii="Cambria Math" w:hAnsi="Cambria Math"/>
              </w:rPr>
            </m:ctrlPr>
          </m:sSupPr>
          <m:e>
            <m:r>
              <m:rPr>
                <m:sty m:val="p"/>
              </m:rPr>
              <w:rPr>
                <w:rFonts w:ascii="Cambria Math" w:hAnsi="Cambria Math"/>
              </w:rPr>
              <m:t>cos</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α</m:t>
        </m:r>
      </m:oMath>
      <w:r>
        <w:rPr>
          <w:rFonts w:hint="eastAsia"/>
        </w:rPr>
        <w:t>,</w:t>
      </w:r>
      <m:oMath>
        <m:r>
          <m:rPr>
            <m:sty m:val="p"/>
          </m:rPr>
          <w:rPr>
            <w:rFonts w:ascii="Cambria Math" w:hAnsi="Cambria Math"/>
          </w:rPr>
          <m:t xml:space="preserve"> α</m:t>
        </m:r>
      </m:oMath>
      <w:r>
        <w:rPr>
          <w:rFonts w:hint="eastAsia"/>
        </w:rPr>
        <w:t>为实际支撑与水平向的夹角;</w:t>
      </w:r>
    </w:p>
    <w:p>
      <w:pPr>
        <w:ind w:right="189" w:rightChars="90" w:firstLine="420"/>
        <w:jc w:val="left"/>
      </w:pPr>
      <w:r>
        <w:rPr>
          <w:rFonts w:hint="eastAsia"/>
        </w:rPr>
        <w:t>6）假定消能器的有效刚度为</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4</m:t>
            </m:r>
            <m:ctrlPr>
              <w:rPr>
                <w:rFonts w:ascii="Cambria Math" w:hAnsi="Cambria Math"/>
              </w:rPr>
            </m:ctrlPr>
          </m:sub>
        </m:sSub>
      </m:oMath>
      <w:r>
        <w:rPr>
          <w:rFonts w:hint="eastAsia"/>
        </w:rPr>
        <w:t>，由于实际双斜支撑与消能器组成系统的串联刚度为</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(即SATWE或YJK中等代支撑的水平刚度),满足关系式：1/</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=1/</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3</m:t>
            </m:r>
            <m:ctrlPr>
              <w:rPr>
                <w:rFonts w:ascii="Cambria Math" w:hAnsi="Cambria Math"/>
              </w:rPr>
            </m:ctrlPr>
          </m:sub>
        </m:sSub>
      </m:oMath>
      <w:r>
        <w:rPr>
          <w:rFonts w:hint="eastAsia"/>
        </w:rPr>
        <w:t>+1/</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4</m:t>
            </m:r>
            <m:ctrlPr>
              <w:rPr>
                <w:rFonts w:ascii="Cambria Math" w:hAnsi="Cambria Math"/>
              </w:rPr>
            </m:ctrlPr>
          </m:sub>
        </m:sSub>
      </m:oMath>
      <w:r>
        <w:rPr>
          <w:rFonts w:hint="eastAsia"/>
        </w:rPr>
        <w:t>，则消能器的有效刚度为</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=1/（</m:t>
        </m:r>
        <m:f>
          <m:fPr>
            <m:ctrlPr>
              <w:rPr>
                <w:rFonts w:ascii="Cambria Math" w:hAnsi="Cambria Math"/>
              </w:rPr>
            </m:ctrlPr>
          </m:fPr>
          <m:num>
            <m:r>
              <m:rPr>
                <m:sty m:val="p"/>
              </m:rPr>
              <w:rPr>
                <w:rFonts w:hint="eastAsia" w:ascii="Cambria Math" w:hAnsi="Cambria Math"/>
              </w:rPr>
              <m:t>1</m:t>
            </m:r>
            <m:ctrlPr>
              <w:rPr>
                <w:rFonts w:ascii="Cambria Math" w:hAnsi="Cambria Math"/>
              </w:rPr>
            </m:ctrlPr>
          </m:num>
          <m:den>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den>
        </m:f>
        <m:r>
          <m:rPr>
            <m:sty m:val="p"/>
          </m:rPr>
          <w:rPr>
            <w:rFonts w:ascii="Cambria Math" w:hAnsi="Cambria Math"/>
          </w:rPr>
          <m:t>-</m:t>
        </m:r>
        <m:f>
          <m:fPr>
            <m:ctrlPr>
              <w:rPr>
                <w:rFonts w:ascii="Cambria Math" w:hAnsi="Cambria Math"/>
              </w:rPr>
            </m:ctrlPr>
          </m:fPr>
          <m:num>
            <m:r>
              <m:rPr>
                <m:sty m:val="p"/>
              </m:rPr>
              <w:rPr>
                <w:rFonts w:hint="eastAsia" w:ascii="Cambria Math" w:hAnsi="Cambria Math"/>
              </w:rPr>
              <m:t>1</m:t>
            </m:r>
            <m:ctrlPr>
              <w:rPr>
                <w:rFonts w:ascii="Cambria Math" w:hAnsi="Cambria Math"/>
              </w:rPr>
            </m:ctrlPr>
          </m:num>
          <m:den>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3</m:t>
                </m:r>
                <m:ctrlPr>
                  <w:rPr>
                    <w:rFonts w:ascii="Cambria Math" w:hAnsi="Cambria Math"/>
                  </w:rPr>
                </m:ctrlPr>
              </m:sub>
            </m:sSub>
            <m:ctrlPr>
              <w:rPr>
                <w:rFonts w:ascii="Cambria Math" w:hAnsi="Cambria Math"/>
              </w:rPr>
            </m:ctrlPr>
          </m:den>
        </m:f>
        <m:r>
          <m:rPr>
            <m:sty m:val="p"/>
          </m:rPr>
          <w:rPr>
            <w:rFonts w:ascii="Cambria Math" w:hAnsi="Cambria Math"/>
          </w:rPr>
          <m:t>）</m:t>
        </m:r>
      </m:oMath>
      <w:r>
        <w:rPr>
          <w:rFonts w:hint="eastAsia"/>
        </w:rPr>
        <w:t>。</w:t>
      </w:r>
    </w:p>
    <w:p>
      <w:pPr>
        <w:ind w:right="189" w:rightChars="90" w:firstLine="420"/>
        <w:jc w:val="left"/>
      </w:pPr>
      <w:r>
        <w:rPr>
          <w:rFonts w:hint="eastAsia"/>
        </w:rPr>
        <w:t>7）选取消能器的相关参数，在小震时程分析中使得</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4</m:t>
            </m:r>
            <m:ctrlPr>
              <w:rPr>
                <w:rFonts w:ascii="Cambria Math" w:hAnsi="Cambria Math"/>
              </w:rPr>
            </m:ctrlPr>
          </m:sub>
        </m:sSub>
      </m:oMath>
      <w:r>
        <w:rPr>
          <w:rFonts w:hint="eastAsia"/>
        </w:rPr>
        <w:t>=</w:t>
      </w:r>
      <m:oMath>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α</m:t>
            </m:r>
            <m:ctrlPr>
              <w:rPr>
                <w:rFonts w:ascii="Cambria Math" w:hAnsi="Cambria Math"/>
              </w:rPr>
            </m:ctrlPr>
          </m:sub>
        </m:sSub>
      </m:oMath>
      <w:r>
        <w:rPr>
          <w:rFonts w:hint="eastAsia"/>
        </w:rPr>
        <w:t>/</w:t>
      </w:r>
      <m:oMath>
        <m:sSub>
          <m:sSubPr>
            <m:ctrlPr>
              <w:rPr>
                <w:rFonts w:ascii="Cambria Math" w:hAnsi="Cambria Math"/>
              </w:rPr>
            </m:ctrlPr>
          </m:sSubPr>
          <m:e>
            <m:r>
              <m:rPr>
                <m:sty m:val="p"/>
              </m:rPr>
              <w:rPr>
                <w:rFonts w:ascii="Cambria Math" w:hAnsi="Cambria Math"/>
              </w:rPr>
              <m:t>∆</m:t>
            </m:r>
            <m:ctrlPr>
              <w:rPr>
                <w:rFonts w:ascii="Cambria Math" w:hAnsi="Cambria Math"/>
              </w:rPr>
            </m:ctrlPr>
          </m:e>
          <m:sub>
            <m:r>
              <m:rPr>
                <m:sty m:val="p"/>
              </m:rPr>
              <w:rPr>
                <w:rFonts w:ascii="Cambria Math" w:hAnsi="Cambria Math"/>
              </w:rPr>
              <m:t>α</m:t>
            </m:r>
            <m:ctrlPr>
              <w:rPr>
                <w:rFonts w:ascii="Cambria Math" w:hAnsi="Cambria Math"/>
              </w:rPr>
            </m:ctrlPr>
          </m:sub>
        </m:sSub>
      </m:oMath>
      <w:r>
        <w:rPr>
          <w:rFonts w:hint="eastAsia"/>
        </w:rPr>
        <w:t>,</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α</m:t>
            </m:r>
            <m:ctrlPr>
              <w:rPr>
                <w:rFonts w:ascii="Cambria Math" w:hAnsi="Cambria Math"/>
              </w:rPr>
            </m:ctrlPr>
          </m:sub>
        </m:sSub>
      </m:oMath>
      <w:r>
        <w:rPr>
          <w:rFonts w:hint="eastAsia"/>
        </w:rPr>
        <w:t>为消能器的实际出力，</w:t>
      </w:r>
      <m:oMath>
        <m:sSub>
          <m:sSubPr>
            <m:ctrlPr>
              <w:rPr>
                <w:rFonts w:ascii="Cambria Math" w:hAnsi="Cambria Math"/>
              </w:rPr>
            </m:ctrlPr>
          </m:sSubPr>
          <m:e>
            <m:r>
              <m:rPr>
                <m:sty m:val="p"/>
              </m:rPr>
              <w:rPr>
                <w:rFonts w:ascii="Cambria Math" w:hAnsi="Cambria Math"/>
              </w:rPr>
              <m:t>∆</m:t>
            </m:r>
            <m:ctrlPr>
              <w:rPr>
                <w:rFonts w:ascii="Cambria Math" w:hAnsi="Cambria Math"/>
              </w:rPr>
            </m:ctrlPr>
          </m:e>
          <m:sub>
            <m:r>
              <m:rPr>
                <m:sty m:val="p"/>
              </m:rPr>
              <w:rPr>
                <w:rFonts w:ascii="Cambria Math" w:hAnsi="Cambria Math"/>
              </w:rPr>
              <m:t>α</m:t>
            </m:r>
            <m:ctrlPr>
              <w:rPr>
                <w:rFonts w:ascii="Cambria Math" w:hAnsi="Cambria Math"/>
              </w:rPr>
            </m:ctrlPr>
          </m:sub>
        </m:sSub>
      </m:oMath>
      <w:r>
        <w:rPr>
          <w:rFonts w:hint="eastAsia"/>
        </w:rPr>
        <w:t>为消能器的实际位移.并复核小震时程分析中的层间位移角、楼层剪力和附加阻尼比是否满足预期性能目标。</w:t>
      </w:r>
    </w:p>
    <w:p>
      <w:pPr>
        <w:pStyle w:val="4"/>
        <w:rPr>
          <w:color w:val="auto"/>
        </w:rPr>
      </w:pPr>
      <w:r>
        <w:rPr>
          <w:rFonts w:hint="eastAsia"/>
          <w:color w:val="auto"/>
        </w:rPr>
        <w:t>地震波选取</w:t>
      </w:r>
    </w:p>
    <w:p>
      <w:pPr>
        <w:ind w:firstLine="420"/>
      </w:pPr>
      <w:r>
        <w:rPr>
          <w:rFonts w:hint="eastAsia"/>
        </w:rPr>
        <w:t>与</w:t>
      </w:r>
      <w:r>
        <w:fldChar w:fldCharType="begin"/>
      </w:r>
      <w:r>
        <w:instrText xml:space="preserve"> REF _Ref507062811 \n \h  \* MERGEFORMAT </w:instrText>
      </w:r>
      <w:r>
        <w:fldChar w:fldCharType="separate"/>
      </w:r>
      <w:r>
        <w:rPr>
          <w:rFonts w:hint="eastAsia"/>
        </w:rPr>
        <w:t>5</w:t>
      </w:r>
      <w:r>
        <w:t>.1.8</w:t>
      </w:r>
      <w:r>
        <w:fldChar w:fldCharType="end"/>
      </w:r>
      <w:r>
        <w:rPr>
          <w:rFonts w:hint="eastAsia"/>
        </w:rPr>
        <w:t>条相同。</w:t>
      </w:r>
    </w:p>
    <w:p>
      <w:pPr>
        <w:pStyle w:val="4"/>
        <w:rPr>
          <w:color w:val="auto"/>
        </w:rPr>
      </w:pPr>
      <w:r>
        <w:rPr>
          <w:rFonts w:hint="eastAsia"/>
          <w:color w:val="auto"/>
        </w:rPr>
        <w:t>弹性时程分析（</w:t>
      </w:r>
      <w:r>
        <w:rPr>
          <w:color w:val="auto"/>
        </w:rPr>
        <w:t>FNA</w:t>
      </w:r>
      <w:r>
        <w:rPr>
          <w:rFonts w:hint="eastAsia"/>
          <w:color w:val="auto"/>
        </w:rPr>
        <w:t>）</w:t>
      </w:r>
    </w:p>
    <w:p>
      <w:pPr>
        <w:ind w:firstLine="420"/>
      </w:pPr>
      <w:r>
        <w:rPr>
          <w:rFonts w:hint="eastAsia"/>
        </w:rPr>
        <w:t>与</w:t>
      </w:r>
      <w:r>
        <w:fldChar w:fldCharType="begin"/>
      </w:r>
      <w:r>
        <w:instrText xml:space="preserve"> REF _Ref507062855 \n \h  \* MERGEFORMAT </w:instrText>
      </w:r>
      <w:r>
        <w:fldChar w:fldCharType="separate"/>
      </w:r>
      <w:r>
        <w:rPr>
          <w:rFonts w:hint="eastAsia"/>
        </w:rPr>
        <w:t>5</w:t>
      </w:r>
      <w:r>
        <w:t>.1.9</w:t>
      </w:r>
      <w:r>
        <w:fldChar w:fldCharType="end"/>
      </w:r>
      <w:r>
        <w:rPr>
          <w:rFonts w:hint="eastAsia"/>
        </w:rPr>
        <w:t>条相同。</w:t>
      </w:r>
    </w:p>
    <w:p>
      <w:pPr>
        <w:pStyle w:val="4"/>
        <w:rPr>
          <w:color w:val="auto"/>
        </w:rPr>
      </w:pPr>
      <w:r>
        <w:rPr>
          <w:rFonts w:hint="eastAsia"/>
          <w:color w:val="auto"/>
        </w:rPr>
        <w:t>复核附加阻尼比</w:t>
      </w:r>
    </w:p>
    <w:p>
      <w:pPr>
        <w:ind w:firstLine="0" w:firstLineChars="0"/>
      </w:pPr>
      <w:r>
        <w:rPr>
          <w:rFonts w:hint="eastAsia"/>
        </w:rPr>
        <w:t xml:space="preserve">     复核计算实际附加阻尼比的方法目前有很多，普遍采用的是结构自由振动反应识别和能量法，即首先计算出消能器耗能和结构耗能，然后计算附加阻尼比。根据《建筑消能减震技术规程》 JGJ 297-2013消能部件附加给结构的实际有效刚度和有效阻尼比，可按下列方法确定：</w:t>
      </w:r>
    </w:p>
    <w:p>
      <w:pPr>
        <w:ind w:firstLine="0" w:firstLineChars="0"/>
      </w:pPr>
      <w:r>
        <w:rPr>
          <w:rFonts w:hint="eastAsia"/>
        </w:rPr>
        <w:t xml:space="preserve">   1  位移相关型消能部件和非线性速度相关型消能部件附加给结构的有效刚度可采用等价线性化方法确定。</w:t>
      </w:r>
    </w:p>
    <w:p>
      <w:pPr>
        <w:ind w:firstLine="0" w:firstLineChars="0"/>
      </w:pPr>
      <w:r>
        <w:rPr>
          <w:rFonts w:hint="eastAsia"/>
        </w:rPr>
        <w:t xml:space="preserve">   2   消能部件附加给结构有效阻尼比可按下式计算：</w:t>
      </w:r>
    </w:p>
    <w:p>
      <w:pPr>
        <w:ind w:firstLine="0" w:firstLineChars="0"/>
      </w:pPr>
      <w:r>
        <w:rPr>
          <w:rFonts w:hint="eastAsia"/>
        </w:rPr>
        <w:t xml:space="preserve">       </w:t>
      </w:r>
      <m:oMath>
        <m:sSub>
          <m:sSubPr>
            <m:ctrlPr>
              <w:rPr>
                <w:rFonts w:ascii="Cambria Math" w:hAnsi="Cambria Math"/>
              </w:rPr>
            </m:ctrlPr>
          </m:sSubPr>
          <m:e>
            <m:r>
              <w:rPr>
                <w:rFonts w:ascii="Cambria Math" w:hAnsi="Cambria Math"/>
              </w:rPr>
              <m:t>ε</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w:t>
      </w:r>
      <m:oMath>
        <m:nary>
          <m:naryPr>
            <m:chr m:val="∑"/>
            <m:limLoc m:val="undOvr"/>
            <m:ctrlPr>
              <w:rPr>
                <w:rFonts w:ascii="Cambria Math" w:hAnsi="Cambria Math"/>
              </w:rPr>
            </m:ctrlPr>
          </m:naryPr>
          <m:sub>
            <m:r>
              <w:rPr>
                <w:rFonts w:ascii="Cambria Math" w:hAnsi="Cambria Math"/>
              </w:rPr>
              <m:t>j=</m:t>
            </m:r>
            <m:ctrlPr>
              <w:rPr>
                <w:rFonts w:ascii="Cambria Math" w:hAnsi="Cambria Math"/>
              </w:rPr>
            </m:ctrlPr>
          </m:sub>
          <m:sup>
            <m:r>
              <w:rPr>
                <w:rFonts w:ascii="Cambria Math" w:hAnsi="Cambria Math"/>
              </w:rPr>
              <m:t>n</m:t>
            </m:r>
            <m:ctrlPr>
              <w:rPr>
                <w:rFonts w:ascii="Cambria Math" w:hAnsi="Cambria Math"/>
              </w:rPr>
            </m:ctrlPr>
          </m:sup>
          <m:e>
            <m:f>
              <m:fPr>
                <m:ctrlPr>
                  <w:rPr>
                    <w:rFonts w:ascii="Cambria Math" w:hAnsi="Cambria Math"/>
                    <w:i/>
                  </w:rPr>
                </m:ctrlPr>
              </m:fPr>
              <m:num>
                <m:sSub>
                  <m:sSubPr>
                    <m:ctrlPr>
                      <w:rPr>
                        <w:rFonts w:ascii="Cambria Math" w:hAnsi="Cambria Math"/>
                        <w:i/>
                      </w:rPr>
                    </m:ctrlPr>
                  </m:sSubPr>
                  <m:e>
                    <m:r>
                      <w:rPr>
                        <w:rFonts w:ascii="Cambria Math" w:hAnsi="Cambria Math"/>
                      </w:rPr>
                      <m:t>W</m:t>
                    </m:r>
                    <m:ctrlPr>
                      <w:rPr>
                        <w:rFonts w:ascii="Cambria Math" w:hAnsi="Cambria Math"/>
                        <w:i/>
                      </w:rPr>
                    </m:ctrlPr>
                  </m:e>
                  <m:sub>
                    <m:r>
                      <w:rPr>
                        <w:rFonts w:ascii="Cambria Math" w:hAnsi="Cambria Math"/>
                      </w:rPr>
                      <m:t>cj</m:t>
                    </m:r>
                    <m:ctrlPr>
                      <w:rPr>
                        <w:rFonts w:ascii="Cambria Math" w:hAnsi="Cambria Math"/>
                        <w:i/>
                      </w:rPr>
                    </m:ctrlPr>
                  </m:sub>
                </m:sSub>
                <m:ctrlPr>
                  <w:rPr>
                    <w:rFonts w:ascii="Cambria Math" w:hAnsi="Cambria Math"/>
                    <w:i/>
                  </w:rPr>
                </m:ctrlPr>
              </m:num>
              <m:den>
                <m:r>
                  <w:rPr>
                    <w:rFonts w:ascii="Cambria Math" w:hAnsi="Cambria Math"/>
                  </w:rPr>
                  <m:t>4π</m:t>
                </m:r>
                <m:sSub>
                  <m:sSubPr>
                    <m:ctrlPr>
                      <w:rPr>
                        <w:rFonts w:ascii="Cambria Math" w:hAnsi="Cambria Math"/>
                        <w:i/>
                      </w:rPr>
                    </m:ctrlPr>
                  </m:sSubPr>
                  <m:e>
                    <m:r>
                      <w:rPr>
                        <w:rFonts w:ascii="Cambria Math" w:hAnsi="Cambria Math"/>
                      </w:rPr>
                      <m:t>W</m:t>
                    </m:r>
                    <m:ctrlPr>
                      <w:rPr>
                        <w:rFonts w:ascii="Cambria Math" w:hAnsi="Cambria Math"/>
                        <w:i/>
                      </w:rPr>
                    </m:ctrlPr>
                  </m:e>
                  <m:sub>
                    <m:r>
                      <w:rPr>
                        <w:rFonts w:ascii="Cambria Math" w:hAnsi="Cambria Math"/>
                      </w:rPr>
                      <m:t>s</m:t>
                    </m:r>
                    <m:ctrlPr>
                      <w:rPr>
                        <w:rFonts w:ascii="Cambria Math" w:hAnsi="Cambria Math"/>
                        <w:i/>
                      </w:rPr>
                    </m:ctrlPr>
                  </m:sub>
                </m:sSub>
                <m:ctrlPr>
                  <w:rPr>
                    <w:rFonts w:ascii="Cambria Math" w:hAnsi="Cambria Math"/>
                    <w:i/>
                  </w:rPr>
                </m:ctrlPr>
              </m:den>
            </m:f>
            <m:ctrlPr>
              <w:rPr>
                <w:rFonts w:ascii="Cambria Math" w:hAnsi="Cambria Math"/>
              </w:rPr>
            </m:ctrlPr>
          </m:e>
        </m:nary>
      </m:oMath>
      <w:r>
        <w:rPr>
          <w:rFonts w:hint="eastAsia"/>
        </w:rPr>
        <w:t xml:space="preserve">                                                   （5.</w:t>
      </w:r>
      <w:r>
        <w:t>2</w:t>
      </w:r>
      <w:r>
        <w:rPr>
          <w:rFonts w:hint="eastAsia"/>
        </w:rPr>
        <w:t>.10-1）</w:t>
      </w:r>
    </w:p>
    <w:p>
      <w:pPr>
        <w:ind w:firstLine="0" w:firstLineChars="0"/>
      </w:pPr>
      <w:r>
        <w:rPr>
          <w:rFonts w:hint="eastAsia"/>
        </w:rPr>
        <w:t>式中：</w:t>
      </w:r>
      <m:oMath>
        <m:sSub>
          <m:sSubPr>
            <m:ctrlPr>
              <w:rPr>
                <w:rFonts w:ascii="Cambria Math" w:hAnsi="Cambria Math"/>
              </w:rPr>
            </m:ctrlPr>
          </m:sSubPr>
          <m:e>
            <m:r>
              <w:rPr>
                <w:rFonts w:ascii="Cambria Math" w:hAnsi="Cambria Math"/>
              </w:rPr>
              <m:t>ε</m:t>
            </m:r>
            <m:ctrlPr>
              <w:rPr>
                <w:rFonts w:ascii="Cambria Math" w:hAnsi="Cambria Math"/>
              </w:rPr>
            </m:ctrlPr>
          </m:e>
          <m:sub>
            <m:r>
              <w:rPr>
                <w:rFonts w:ascii="Cambria Math" w:hAnsi="Cambria Math"/>
              </w:rPr>
              <m:t>d</m:t>
            </m:r>
            <m:ctrlPr>
              <w:rPr>
                <w:rFonts w:ascii="Cambria Math" w:hAnsi="Cambria Math"/>
              </w:rPr>
            </m:ctrlPr>
          </m:sub>
        </m:sSub>
      </m:oMath>
      <w:r>
        <w:t>—</w:t>
      </w:r>
      <w:r>
        <w:rPr>
          <w:rFonts w:hint="eastAsia"/>
        </w:rPr>
        <w:t>消能减震结构的附加有效阻尼比；</w:t>
      </w:r>
    </w:p>
    <w:p>
      <w:pPr>
        <w:ind w:firstLine="420" w:firstLineChars="0"/>
      </w:pPr>
      <m:oMath>
        <m:sSub>
          <m:sSubPr>
            <m:ctrlPr>
              <w:rPr>
                <w:rFonts w:ascii="Cambria Math" w:hAnsi="Cambria Math"/>
              </w:rPr>
            </m:ctrlPr>
          </m:sSubPr>
          <m:e>
            <m:r>
              <m:rPr>
                <m:sty m:val="p"/>
              </m:rPr>
              <w:rPr>
                <w:rFonts w:ascii="Cambria Math" w:hAnsi="Cambria Math"/>
              </w:rPr>
              <m:t xml:space="preserve">    W</m:t>
            </m:r>
            <m:ctrlPr>
              <w:rPr>
                <w:rFonts w:ascii="Cambria Math" w:hAnsi="Cambria Math"/>
              </w:rPr>
            </m:ctrlPr>
          </m:e>
          <m:sub>
            <m:r>
              <m:rPr>
                <m:sty m:val="p"/>
              </m:rPr>
              <w:rPr>
                <w:rFonts w:ascii="Cambria Math" w:hAnsi="Cambria Math"/>
              </w:rPr>
              <m:t>cj</m:t>
            </m:r>
            <m:ctrlPr>
              <w:rPr>
                <w:rFonts w:ascii="Cambria Math" w:hAnsi="Cambria Math"/>
              </w:rPr>
            </m:ctrlPr>
          </m:sub>
        </m:sSub>
      </m:oMath>
      <w:r>
        <w:t>—</w:t>
      </w:r>
      <w:r>
        <w:rPr>
          <w:rFonts w:hint="eastAsia"/>
        </w:rPr>
        <w:t>第j个消能部件在结构预期层间位移</w:t>
      </w:r>
      <m:oMath>
        <m:sSub>
          <m:sSubPr>
            <m:ctrlPr>
              <w:rPr>
                <w:rFonts w:ascii="Cambria Math" w:hAnsi="Cambria Math"/>
              </w:rPr>
            </m:ctrlPr>
          </m:sSubPr>
          <m:e>
            <m:r>
              <m:rPr>
                <m:sty m:val="p"/>
              </m:rPr>
              <w:rPr>
                <w:rFonts w:ascii="Cambria Math" w:hAnsi="Cambria Math"/>
              </w:rPr>
              <m:t>∆</m:t>
            </m:r>
            <m:ctrlPr>
              <w:rPr>
                <w:rFonts w:ascii="Cambria Math" w:hAnsi="Cambria Math"/>
              </w:rPr>
            </m:ctrlPr>
          </m:e>
          <m:sub>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m:t>
                </m:r>
                <m:ctrlPr>
                  <w:rPr>
                    <w:rFonts w:ascii="Cambria Math" w:hAnsi="Cambria Math"/>
                  </w:rPr>
                </m:ctrlPr>
              </m:sub>
            </m:sSub>
            <m:ctrlPr>
              <w:rPr>
                <w:rFonts w:ascii="Cambria Math" w:hAnsi="Cambria Math"/>
              </w:rPr>
            </m:ctrlPr>
          </m:sub>
        </m:sSub>
      </m:oMath>
      <w:r>
        <w:rPr>
          <w:rFonts w:hint="eastAsia"/>
        </w:rPr>
        <w:t>下往复循环一周所消耗的能量(kN</w:t>
      </w:r>
      <w:r>
        <w:rPr>
          <w:rFonts w:hint="eastAsia" w:ascii="宋体" w:hAnsi="宋体"/>
        </w:rPr>
        <w:t>•</w:t>
      </w:r>
      <w:r>
        <w:rPr>
          <w:rFonts w:hint="eastAsia"/>
        </w:rPr>
        <w:t>m)；</w:t>
      </w:r>
    </w:p>
    <w:p>
      <w:pPr>
        <w:ind w:firstLine="420" w:firstLineChars="0"/>
      </w:pPr>
      <m:oMath>
        <m:sSub>
          <m:sSubPr>
            <m:ctrlPr>
              <w:rPr>
                <w:rFonts w:ascii="Cambria Math" w:hAnsi="Cambria Math"/>
              </w:rPr>
            </m:ctrlPr>
          </m:sSubPr>
          <m:e>
            <m:r>
              <m:rPr>
                <m:sty m:val="p"/>
              </m:rPr>
              <w:rPr>
                <w:rFonts w:ascii="Cambria Math" w:hAnsi="Cambria Math"/>
              </w:rPr>
              <m:t xml:space="preserve">    W</m:t>
            </m:r>
            <m:ctrlPr>
              <w:rPr>
                <w:rFonts w:ascii="Cambria Math" w:hAnsi="Cambria Math"/>
              </w:rPr>
            </m:ctrlPr>
          </m:e>
          <m:sub>
            <m:r>
              <m:rPr>
                <m:sty m:val="p"/>
              </m:rPr>
              <w:rPr>
                <w:rFonts w:ascii="Cambria Math" w:hAnsi="Cambria Math"/>
              </w:rPr>
              <m:t>s</m:t>
            </m:r>
            <m:ctrlPr>
              <w:rPr>
                <w:rFonts w:ascii="Cambria Math" w:hAnsi="Cambria Math"/>
              </w:rPr>
            </m:ctrlPr>
          </m:sub>
        </m:sSub>
      </m:oMath>
      <w:r>
        <w:t>—</w:t>
      </w:r>
      <w:r>
        <w:rPr>
          <w:rFonts w:hint="eastAsia"/>
        </w:rPr>
        <w:t>消能减震结构在水平地震作用下的总应变能(kN</w:t>
      </w:r>
      <w:r>
        <w:rPr>
          <w:rFonts w:hint="eastAsia" w:ascii="宋体" w:hAnsi="宋体"/>
        </w:rPr>
        <w:t>•</w:t>
      </w:r>
      <w:r>
        <w:rPr>
          <w:rFonts w:hint="eastAsia"/>
        </w:rPr>
        <w:t>m)。</w:t>
      </w:r>
    </w:p>
    <w:p>
      <w:pPr>
        <w:ind w:firstLine="420"/>
      </w:pPr>
      <w:r>
        <w:rPr>
          <w:rFonts w:hint="eastAsia"/>
        </w:rPr>
        <w:t>3 不计及扭转影响时，消能减震结构在水平地震作用下的总应变能，可按下式计算：</w:t>
      </w:r>
    </w:p>
    <w:p>
      <w:pPr>
        <w:ind w:firstLine="420"/>
      </w:pPr>
      <m:oMath>
        <m:sSub>
          <m:sSubPr>
            <m:ctrlPr>
              <w:rPr>
                <w:rFonts w:ascii="Cambria Math" w:hAnsi="Cambria Math"/>
              </w:rPr>
            </m:ctrlPr>
          </m:sSubPr>
          <m:e>
            <m:r>
              <m:rPr>
                <m:sty m:val="p"/>
              </m:rPr>
              <w:rPr>
                <w:rFonts w:ascii="Cambria Math" w:hAnsi="Cambria Math"/>
              </w:rPr>
              <m:t>W</m:t>
            </m:r>
            <m:ctrlPr>
              <w:rPr>
                <w:rFonts w:ascii="Cambria Math" w:hAnsi="Cambria Math"/>
              </w:rPr>
            </m:ctrlPr>
          </m:e>
          <m:sub>
            <m:r>
              <m:rPr>
                <m:sty m:val="p"/>
              </m:rPr>
              <w:rPr>
                <w:rFonts w:ascii="Cambria Math" w:hAnsi="Cambria Math"/>
              </w:rPr>
              <m:t>s</m:t>
            </m:r>
            <m:ctrlPr>
              <w:rPr>
                <w:rFonts w:ascii="Cambria Math" w:hAnsi="Cambria Math"/>
              </w:rPr>
            </m:ctrlPr>
          </m:sub>
        </m:sSub>
      </m:oMath>
      <w:r>
        <w:rPr>
          <w:rFonts w:hint="eastAsia"/>
        </w:rPr>
        <w:t>=</w:t>
      </w:r>
      <m:oMath>
        <m:nary>
          <m:naryPr>
            <m:chr m:val="∑"/>
            <m:limLoc m:val="undOvr"/>
            <m:subHide m:val="1"/>
            <m:supHide m:val="1"/>
            <m:ctrlPr>
              <w:rPr>
                <w:rFonts w:ascii="Cambria Math" w:hAnsi="Cambria Math"/>
              </w:rPr>
            </m:ctrlPr>
          </m:naryPr>
          <m:sub>
            <m:ctrlPr>
              <w:rPr>
                <w:rFonts w:ascii="Cambria Math" w:hAnsi="Cambria Math"/>
              </w:rPr>
            </m:ctrlPr>
          </m:sub>
          <m:sup>
            <m:ctrlPr>
              <w:rPr>
                <w:rFonts w:ascii="Cambria Math" w:hAnsi="Cambria Math"/>
              </w:rPr>
            </m:ctrlPr>
          </m:sup>
          <m:e>
            <m:f>
              <m:fPr>
                <m:ctrlPr>
                  <w:rPr>
                    <w:rFonts w:ascii="Cambria Math" w:hAnsi="Cambria Math"/>
                    <w:i/>
                  </w:rPr>
                </m:ctrlPr>
              </m:fPr>
              <m:num>
                <m:sSub>
                  <m:sSubPr>
                    <m:ctrlPr>
                      <w:rPr>
                        <w:rFonts w:ascii="Cambria Math" w:hAnsi="Cambria Math"/>
                        <w:i/>
                      </w:rPr>
                    </m:ctrlPr>
                  </m:sSubPr>
                  <m:e>
                    <m:r>
                      <w:rPr>
                        <w:rFonts w:ascii="Cambria Math" w:hAnsi="Cambria Math"/>
                      </w:rPr>
                      <m:t>F</m:t>
                    </m:r>
                    <m:ctrlPr>
                      <w:rPr>
                        <w:rFonts w:ascii="Cambria Math" w:hAnsi="Cambria Math"/>
                        <w:i/>
                      </w:rPr>
                    </m:ctrlPr>
                  </m:e>
                  <m:sub>
                    <m:r>
                      <w:rPr>
                        <w:rFonts w:ascii="Cambria Math" w:hAnsi="Cambria Math"/>
                      </w:rPr>
                      <m:t>i</m:t>
                    </m:r>
                    <m:sSub>
                      <m:sSubPr>
                        <m:ctrlPr>
                          <w:rPr>
                            <w:rFonts w:ascii="Cambria Math" w:hAnsi="Cambria Math"/>
                            <w:i/>
                          </w:rPr>
                        </m:ctrlPr>
                      </m:sSubPr>
                      <m:e>
                        <m:r>
                          <w:rPr>
                            <w:rFonts w:ascii="Cambria Math" w:hAnsi="Cambria Math"/>
                          </w:rPr>
                          <m:t>u</m:t>
                        </m:r>
                        <m:ctrlPr>
                          <w:rPr>
                            <w:rFonts w:ascii="Cambria Math" w:hAnsi="Cambria Math"/>
                            <w:i/>
                          </w:rPr>
                        </m:ctrlPr>
                      </m:e>
                      <m:sub>
                        <m:r>
                          <w:rPr>
                            <w:rFonts w:ascii="Cambria Math" w:hAnsi="Cambria Math"/>
                          </w:rPr>
                          <m:t>i</m:t>
                        </m:r>
                        <m:ctrlPr>
                          <w:rPr>
                            <w:rFonts w:ascii="Cambria Math" w:hAnsi="Cambria Math"/>
                            <w:i/>
                          </w:rPr>
                        </m:ctrlPr>
                      </m:sub>
                    </m:sSub>
                    <m:ctrlPr>
                      <w:rPr>
                        <w:rFonts w:ascii="Cambria Math" w:hAnsi="Cambria Math"/>
                        <w:i/>
                      </w:rPr>
                    </m:ctrlPr>
                  </m:sub>
                </m:sSub>
                <m:ctrlPr>
                  <w:rPr>
                    <w:rFonts w:ascii="Cambria Math" w:hAnsi="Cambria Math"/>
                    <w:i/>
                  </w:rPr>
                </m:ctrlPr>
              </m:num>
              <m:den>
                <m:r>
                  <w:rPr>
                    <w:rFonts w:ascii="Cambria Math" w:hAnsi="Cambria Math"/>
                  </w:rPr>
                  <m:t>2</m:t>
                </m:r>
                <m:ctrlPr>
                  <w:rPr>
                    <w:rFonts w:ascii="Cambria Math" w:hAnsi="Cambria Math"/>
                    <w:i/>
                  </w:rPr>
                </m:ctrlPr>
              </m:den>
            </m:f>
            <m:ctrlPr>
              <w:rPr>
                <w:rFonts w:ascii="Cambria Math" w:hAnsi="Cambria Math"/>
              </w:rPr>
            </m:ctrlPr>
          </m:e>
        </m:nary>
      </m:oMath>
      <w:r>
        <w:rPr>
          <w:rFonts w:hint="eastAsia"/>
        </w:rPr>
        <w:t xml:space="preserve">                                                         （5.</w:t>
      </w:r>
      <w:r>
        <w:t>2</w:t>
      </w:r>
      <w:r>
        <w:rPr>
          <w:rFonts w:hint="eastAsia"/>
        </w:rPr>
        <w:t>.10-2）</w:t>
      </w:r>
    </w:p>
    <w:p>
      <w:pPr>
        <w:ind w:left="1155" w:hanging="1155" w:hangingChars="550"/>
      </w:pPr>
      <w:r>
        <w:rPr>
          <w:rFonts w:hint="eastAsia"/>
        </w:rPr>
        <w:t>式中：</w:t>
      </w: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i</m:t>
            </m:r>
            <m:ctrlPr>
              <w:rPr>
                <w:rFonts w:ascii="Cambria Math" w:hAnsi="Cambria Math"/>
              </w:rPr>
            </m:ctrlPr>
          </m:sub>
        </m:sSub>
      </m:oMath>
      <w:r>
        <w:t>—</w:t>
      </w:r>
      <w:r>
        <w:rPr>
          <w:rFonts w:hint="eastAsia"/>
        </w:rPr>
        <w:t>质点i的水平地震作用标准值（一般取相应于第一振型的水平地震作用即可，kN）；</w:t>
      </w:r>
    </w:p>
    <w:p>
      <w:pPr>
        <w:ind w:firstLine="420" w:firstLineChars="0"/>
      </w:pPr>
      <m:oMath>
        <m:sSub>
          <m:sSubPr>
            <m:ctrlPr>
              <w:rPr>
                <w:rFonts w:ascii="Cambria Math" w:hAnsi="Cambria Math"/>
              </w:rPr>
            </m:ctrlPr>
          </m:sSubPr>
          <m:e>
            <m:r>
              <m:rPr>
                <m:sty m:val="p"/>
              </m:rPr>
              <w:rPr>
                <w:rFonts w:ascii="Cambria Math" w:hAnsi="Cambria Math"/>
              </w:rPr>
              <m:t xml:space="preserve">    </m:t>
            </m:r>
            <m:r>
              <w:rPr>
                <w:rFonts w:ascii="Cambria Math" w:hAnsi="Cambria Math"/>
              </w:rPr>
              <m:t>u</m:t>
            </m:r>
            <m:ctrlPr>
              <w:rPr>
                <w:rFonts w:ascii="Cambria Math" w:hAnsi="Cambria Math"/>
              </w:rPr>
            </m:ctrlPr>
          </m:e>
          <m:sub>
            <m:r>
              <w:rPr>
                <w:rFonts w:ascii="Cambria Math" w:hAnsi="Cambria Math"/>
              </w:rPr>
              <m:t>i</m:t>
            </m:r>
            <m:ctrlPr>
              <w:rPr>
                <w:rFonts w:ascii="Cambria Math" w:hAnsi="Cambria Math"/>
              </w:rPr>
            </m:ctrlPr>
          </m:sub>
        </m:sSub>
      </m:oMath>
      <w:r>
        <w:t>—</w:t>
      </w:r>
      <w:r>
        <w:rPr>
          <w:rFonts w:hint="eastAsia"/>
        </w:rPr>
        <w:t>质点i对应于水平地震作用标准值的位移（m）。</w:t>
      </w:r>
    </w:p>
    <w:p>
      <w:pPr>
        <w:ind w:firstLine="420"/>
      </w:pPr>
      <w:r>
        <w:rPr>
          <w:rFonts w:hint="eastAsia"/>
        </w:rPr>
        <w:t>4  Wcj——一个消能部件所消耗的能量的估算，</w:t>
      </w:r>
    </w:p>
    <w:p>
      <w:pPr>
        <w:ind w:firstLine="420"/>
        <w:rPr>
          <w:rFonts w:ascii="宋体" w:hAnsi="宋体"/>
        </w:rPr>
      </w:pPr>
      <w:r>
        <w:rPr>
          <w:rFonts w:hint="eastAsia" w:ascii="宋体" w:hAnsi="宋体"/>
        </w:rPr>
        <w:t>根据《建筑消能减震技术规程》（JGJ 297-2013）的第6.3.2条第6款：消能器的耗能计算为水平地震作用下往复循环一周所消耗的能量：</w:t>
      </w:r>
      <m:oMath>
        <m:sSub>
          <m:sSubPr>
            <m:ctrlPr>
              <w:rPr>
                <w:rFonts w:ascii="Cambria Math" w:hAnsi="Cambria Math"/>
              </w:rPr>
            </m:ctrlPr>
          </m:sSubPr>
          <m:e>
            <m:r>
              <w:rPr>
                <w:rFonts w:ascii="Cambria Math" w:hAnsi="Cambria Math"/>
              </w:rPr>
              <m:t>W</m:t>
            </m:r>
            <m:ctrlPr>
              <w:rPr>
                <w:rFonts w:ascii="Cambria Math" w:hAnsi="Cambria Math"/>
              </w:rPr>
            </m:ctrlPr>
          </m:e>
          <m:sub>
            <m:r>
              <w:rPr>
                <w:rFonts w:ascii="Cambria Math" w:hAnsi="Cambria Math"/>
              </w:rPr>
              <m:t>cj</m:t>
            </m:r>
            <m:ctrlPr>
              <w:rPr>
                <w:rFonts w:ascii="Cambria Math" w:hAnsi="Cambria Math"/>
              </w:rPr>
            </m:ctrlPr>
          </m:sub>
        </m:sSub>
        <m:r>
          <w:rPr>
            <w:rFonts w:ascii="Cambria Math" w:hAnsi="Cambria Math"/>
          </w:rPr>
          <m:t>=</m:t>
        </m:r>
        <m:nary>
          <m:naryPr>
            <m:chr m:val="∑"/>
            <m:limLoc m:val="undOvr"/>
            <m:subHide m:val="1"/>
            <m:supHide m:val="1"/>
            <m:ctrlPr>
              <w:rPr>
                <w:rFonts w:ascii="Cambria Math" w:hAnsi="Cambria Math"/>
              </w:rPr>
            </m:ctrlPr>
          </m:naryPr>
          <m:sub>
            <m:ctrlPr>
              <w:rPr>
                <w:rFonts w:ascii="Cambria Math" w:hAnsi="Cambria Math"/>
              </w:rPr>
            </m:ctrlPr>
          </m:sub>
          <m:sup>
            <m:ctrlPr>
              <w:rPr>
                <w:rFonts w:ascii="Cambria Math" w:hAnsi="Cambria Math"/>
              </w:rPr>
            </m:ctrlPr>
          </m:sup>
          <m:e>
            <m:sSub>
              <m:sSubPr>
                <m:ctrlPr>
                  <w:rPr>
                    <w:rFonts w:ascii="Cambria Math" w:hAnsi="Cambria Math"/>
                    <w:i/>
                  </w:rPr>
                </m:ctrlPr>
              </m:sSubPr>
              <m:e>
                <m:r>
                  <w:rPr>
                    <w:rFonts w:ascii="Cambria Math" w:hAnsi="Cambria Math"/>
                  </w:rPr>
                  <m:t>A</m:t>
                </m:r>
                <m:ctrlPr>
                  <w:rPr>
                    <w:rFonts w:ascii="Cambria Math" w:hAnsi="Cambria Math"/>
                    <w:i/>
                  </w:rPr>
                </m:ctrlPr>
              </m:e>
              <m:sub>
                <m:r>
                  <w:rPr>
                    <w:rFonts w:ascii="Cambria Math" w:hAnsi="Cambria Math"/>
                  </w:rPr>
                  <m:t>j</m:t>
                </m:r>
                <m:ctrlPr>
                  <w:rPr>
                    <w:rFonts w:ascii="Cambria Math" w:hAnsi="Cambria Math"/>
                    <w:i/>
                  </w:rPr>
                </m:ctrlPr>
              </m:sub>
            </m:sSub>
            <m:ctrlPr>
              <w:rPr>
                <w:rFonts w:ascii="Cambria Math" w:hAnsi="Cambria Math"/>
              </w:rPr>
            </m:ctrlPr>
          </m:e>
        </m:nary>
      </m:oMath>
    </w:p>
    <w:p>
      <w:pPr>
        <w:ind w:firstLine="420"/>
      </w:pPr>
      <w:r>
        <w:rPr>
          <w:rFonts w:hint="eastAsia"/>
        </w:rPr>
        <w:t>单个消能器的耗能面积根据（JGJ 297-2013）规程6.3.4条的要求及平行四边形法则求出：</w:t>
      </w:r>
    </w:p>
    <w:p>
      <w:pPr>
        <w:ind w:firstLine="420"/>
      </w:pPr>
      <m:oMath>
        <m:sSub>
          <m:sSubPr>
            <m:ctrlPr>
              <w:rPr>
                <w:rFonts w:ascii="Cambria Math" w:hAnsi="Cambria Math"/>
              </w:rPr>
            </m:ctrlPr>
          </m:sSubPr>
          <m:e>
            <m:r>
              <m:rPr>
                <m:sty m:val="p"/>
              </m:rPr>
              <w:rPr>
                <w:rFonts w:ascii="Cambria Math" w:hAnsi="Cambria Math"/>
              </w:rPr>
              <m:t>W</m:t>
            </m:r>
            <m:ctrlPr>
              <w:rPr>
                <w:rFonts w:ascii="Cambria Math" w:hAnsi="Cambria Math"/>
              </w:rPr>
            </m:ctrlPr>
          </m:e>
          <m:sub>
            <m:r>
              <m:rPr>
                <m:sty m:val="p"/>
              </m:rPr>
              <w:rPr>
                <w:rFonts w:ascii="Cambria Math" w:hAnsi="Cambria Math"/>
              </w:rPr>
              <m:t>cj</m:t>
            </m:r>
            <m:ctrlPr>
              <w:rPr>
                <w:rFonts w:ascii="Cambria Math" w:hAnsi="Cambria Math"/>
              </w:rPr>
            </m:ctrlPr>
          </m:sub>
        </m:sSub>
        <m:r>
          <m:rPr>
            <m:sty m:val="p"/>
          </m:rPr>
          <w:rPr>
            <w:rFonts w:ascii="Cambria Math" w:hAnsi="Cambria Math"/>
          </w:rPr>
          <m:t>=4(</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jmax</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jy</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F</m:t>
            </m:r>
            <m:ctrlPr>
              <w:rPr>
                <w:rFonts w:ascii="Cambria Math" w:hAnsi="Cambria Math"/>
              </w:rPr>
            </m:ctrlPr>
          </m:e>
          <m:sub>
            <m:r>
              <m:rPr>
                <m:sty m:val="p"/>
              </m:rPr>
              <w:rPr>
                <w:rFonts w:ascii="Cambria Math" w:hAnsi="Cambria Math"/>
              </w:rPr>
              <m:t>jmax</m:t>
            </m:r>
            <m:ctrlPr>
              <w:rPr>
                <w:rFonts w:ascii="Cambria Math" w:hAnsi="Cambria Math"/>
              </w:rPr>
            </m:ctrlPr>
          </m:sub>
        </m:sSub>
        <m:r>
          <m:rPr>
            <m:sty m:val="p"/>
          </m:rPr>
          <w:rPr>
            <w:rFonts w:ascii="Cambria Math" w:hAnsi="Cambria Math"/>
          </w:rPr>
          <m:t>-β×</m:t>
        </m:r>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aj</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jmax</m:t>
            </m:r>
            <m:ctrlPr>
              <w:rPr>
                <w:rFonts w:ascii="Cambria Math" w:hAnsi="Cambria Math"/>
              </w:rPr>
            </m:ctrlPr>
          </m:sub>
        </m:sSub>
        <m:r>
          <m:rPr>
            <m:sty m:val="p"/>
          </m:rPr>
          <w:rPr>
            <w:rFonts w:ascii="Cambria Math" w:hAnsi="Cambria Math"/>
          </w:rPr>
          <m:t>)</m:t>
        </m:r>
      </m:oMath>
      <w:r>
        <w:rPr>
          <w:rFonts w:hint="eastAsia"/>
        </w:rPr>
        <w:t xml:space="preserve"> </w:t>
      </w:r>
      <w:r>
        <w:t xml:space="preserve">  </w:t>
      </w:r>
      <w:r>
        <w:rPr>
          <w:rFonts w:hint="eastAsia"/>
        </w:rPr>
        <w:t xml:space="preserve">                      </w:t>
      </w:r>
      <w:r>
        <w:t xml:space="preserve"> </w:t>
      </w:r>
      <w:r>
        <w:rPr>
          <w:rFonts w:hint="eastAsia"/>
        </w:rPr>
        <w:t>(5.</w:t>
      </w:r>
      <w:r>
        <w:t>2</w:t>
      </w:r>
      <w:r>
        <w:rPr>
          <w:rFonts w:hint="eastAsia"/>
        </w:rPr>
        <w:t xml:space="preserve">.10-3) </w:t>
      </w:r>
      <w:r>
        <w:t xml:space="preserve"> </w:t>
      </w:r>
      <w:r>
        <w:rPr>
          <w:rFonts w:hint="eastAsia"/>
        </w:rPr>
        <w:t xml:space="preserve">                                  </w:t>
      </w:r>
    </w:p>
    <w:p>
      <w:pPr>
        <w:ind w:firstLine="420"/>
      </w:pPr>
      <w:r>
        <w:rPr>
          <w:rFonts w:hint="eastAsia"/>
        </w:rPr>
        <w:t>式中：</w:t>
      </w:r>
      <m:oMath>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ascii="Cambria Math" w:hAnsi="Cambria Math"/>
              </w:rPr>
              <m:t>jmax</m:t>
            </m:r>
            <m:ctrlPr>
              <w:rPr>
                <w:rFonts w:ascii="Cambria Math" w:hAnsi="Cambria Math"/>
              </w:rPr>
            </m:ctrlPr>
          </m:sub>
        </m:sSub>
      </m:oMath>
      <w:r>
        <w:t>—</w:t>
      </w:r>
      <w:r>
        <w:rPr>
          <w:rFonts w:hint="eastAsia"/>
        </w:rPr>
        <w:t>第</w:t>
      </w:r>
      <w:r>
        <w:t>j个</w:t>
      </w:r>
      <w:r>
        <w:rPr>
          <w:rFonts w:hint="eastAsia"/>
        </w:rPr>
        <w:t>消能器消能</w:t>
      </w:r>
      <w:r>
        <w:t>方向最大位移</w:t>
      </w:r>
      <w:r>
        <w:rPr>
          <w:rFonts w:hint="eastAsia"/>
        </w:rPr>
        <w:t>（mm）；</w:t>
      </w:r>
    </w:p>
    <w:p>
      <w:pPr>
        <w:ind w:firstLine="420"/>
      </w:pPr>
      <m:oMath>
        <m:sSub>
          <m:sSubPr>
            <m:ctrlPr>
              <w:rPr>
                <w:rFonts w:ascii="Cambria Math" w:hAnsi="Cambria Math"/>
              </w:rPr>
            </m:ctrlPr>
          </m:sSubPr>
          <m:e>
            <m:r>
              <m:rPr>
                <m:sty m:val="p"/>
              </m:rPr>
              <w:rPr>
                <w:rFonts w:ascii="Cambria Math" w:hAnsi="Cambria Math"/>
              </w:rPr>
              <m:t xml:space="preserve">    U</m:t>
            </m:r>
            <m:ctrlPr>
              <w:rPr>
                <w:rFonts w:ascii="Cambria Math" w:hAnsi="Cambria Math"/>
              </w:rPr>
            </m:ctrlPr>
          </m:e>
          <m:sub>
            <m:r>
              <m:rPr>
                <m:sty m:val="p"/>
              </m:rPr>
              <w:rPr>
                <w:rFonts w:ascii="Cambria Math" w:hAnsi="Cambria Math"/>
              </w:rPr>
              <m:t>y</m:t>
            </m:r>
            <m:ctrlPr>
              <w:rPr>
                <w:rFonts w:ascii="Cambria Math" w:hAnsi="Cambria Math"/>
              </w:rPr>
            </m:ctrlPr>
          </m:sub>
        </m:sSub>
      </m:oMath>
      <w:r>
        <w:t>—</w:t>
      </w:r>
      <w:r>
        <w:rPr>
          <w:rFonts w:hint="eastAsia"/>
        </w:rPr>
        <w:t>第j个消能器由试验确定的屈服</w:t>
      </w:r>
      <w:r>
        <w:t>位移</w:t>
      </w:r>
      <w:r>
        <w:rPr>
          <w:rFonts w:hint="eastAsia"/>
        </w:rPr>
        <w:t>（</w:t>
      </w:r>
      <m:oMath>
        <m:r>
          <m:rPr>
            <m:sty m:val="p"/>
          </m:rPr>
          <w:rPr>
            <w:rFonts w:ascii="Cambria Math" w:hAnsi="Cambria Math"/>
          </w:rPr>
          <m:t>mm</m:t>
        </m:r>
      </m:oMath>
      <w:r>
        <w:rPr>
          <w:rFonts w:hint="eastAsia"/>
        </w:rPr>
        <w:t>）</w:t>
      </w:r>
    </w:p>
    <w:p>
      <w:pPr>
        <w:ind w:firstLine="420"/>
      </w:pPr>
      <m:oMath>
        <m:sSub>
          <m:sSubPr>
            <m:ctrlPr>
              <w:rPr>
                <w:rFonts w:ascii="Cambria Math" w:hAnsi="Cambria Math"/>
              </w:rPr>
            </m:ctrlPr>
          </m:sSubPr>
          <m:e>
            <m:r>
              <m:rPr>
                <m:sty m:val="p"/>
              </m:rPr>
              <w:rPr>
                <w:rFonts w:ascii="Cambria Math" w:hAnsi="Cambria Math"/>
              </w:rPr>
              <m:t xml:space="preserve">    F</m:t>
            </m:r>
            <m:ctrlPr>
              <w:rPr>
                <w:rFonts w:ascii="Cambria Math" w:hAnsi="Cambria Math"/>
              </w:rPr>
            </m:ctrlPr>
          </m:e>
          <m:sub>
            <m:r>
              <m:rPr>
                <m:sty m:val="p"/>
              </m:rPr>
              <w:rPr>
                <w:rFonts w:ascii="Cambria Math" w:hAnsi="Cambria Math"/>
              </w:rPr>
              <m:t>jmax</m:t>
            </m:r>
            <m:ctrlPr>
              <w:rPr>
                <w:rFonts w:ascii="Cambria Math" w:hAnsi="Cambria Math"/>
              </w:rPr>
            </m:ctrlPr>
          </m:sub>
        </m:sSub>
      </m:oMath>
      <w:r>
        <w:t>—</w:t>
      </w:r>
      <w:r>
        <w:rPr>
          <w:rFonts w:hint="eastAsia"/>
        </w:rPr>
        <w:t>第j个消能器的消能最大出力（</w:t>
      </w:r>
      <m:oMath>
        <m:r>
          <m:rPr>
            <m:sty m:val="p"/>
          </m:rPr>
          <w:rPr>
            <w:rFonts w:ascii="Cambria Math" w:hAnsi="Cambria Math"/>
          </w:rPr>
          <m:t>kN</m:t>
        </m:r>
      </m:oMath>
      <w:r>
        <w:rPr>
          <w:rFonts w:hint="eastAsia"/>
        </w:rPr>
        <w:t>）;</w:t>
      </w:r>
    </w:p>
    <w:p>
      <w:pPr>
        <w:ind w:firstLine="420"/>
      </w:pPr>
      <m:oMath>
        <m:sSub>
          <m:sSubPr>
            <m:ctrlPr>
              <w:rPr>
                <w:rFonts w:ascii="Cambria Math" w:hAnsi="Cambria Math"/>
              </w:rPr>
            </m:ctrlPr>
          </m:sSubPr>
          <m:e>
            <m:r>
              <m:rPr>
                <m:sty m:val="p"/>
              </m:rPr>
              <w:rPr>
                <w:rFonts w:ascii="Cambria Math" w:hAnsi="Cambria Math"/>
              </w:rPr>
              <m:t xml:space="preserve">    K</m:t>
            </m:r>
            <m:ctrlPr>
              <w:rPr>
                <w:rFonts w:ascii="Cambria Math" w:hAnsi="Cambria Math"/>
              </w:rPr>
            </m:ctrlPr>
          </m:e>
          <m:sub>
            <m:r>
              <m:rPr>
                <m:sty m:val="p"/>
              </m:rPr>
              <w:rPr>
                <w:rFonts w:ascii="Cambria Math" w:hAnsi="Cambria Math"/>
              </w:rPr>
              <m:t>aj</m:t>
            </m:r>
            <m:ctrlPr>
              <w:rPr>
                <w:rFonts w:ascii="Cambria Math" w:hAnsi="Cambria Math"/>
              </w:rPr>
            </m:ctrlPr>
          </m:sub>
        </m:sSub>
      </m:oMath>
      <w:r>
        <w:t>—</w:t>
      </w:r>
      <w:r>
        <w:rPr>
          <w:rFonts w:hint="eastAsia"/>
        </w:rPr>
        <w:t>第j个消能器屈服前</w:t>
      </w:r>
      <w:r>
        <w:t>刚度</w:t>
      </w:r>
      <w:r>
        <w:rPr>
          <w:rFonts w:hint="eastAsia"/>
        </w:rPr>
        <w:t>（kN/mm）;</w:t>
      </w:r>
    </w:p>
    <w:p>
      <w:pPr>
        <w:ind w:firstLine="420"/>
      </w:pPr>
      <w:r>
        <w:t xml:space="preserve">  </w:t>
      </w:r>
      <m:oMath>
        <m:r>
          <m:rPr>
            <m:sty m:val="p"/>
          </m:rPr>
          <w:rPr>
            <w:rFonts w:ascii="Cambria Math" w:hAnsi="Cambria Math"/>
          </w:rPr>
          <m:t>β</m:t>
        </m:r>
      </m:oMath>
      <w:r>
        <w:t>—</w:t>
      </w:r>
      <w:r>
        <w:rPr>
          <w:rFonts w:hint="eastAsia"/>
        </w:rPr>
        <w:t>第</w:t>
      </w:r>
      <w:r>
        <w:t>j个效能器屈服后刚度比</w:t>
      </w:r>
      <w:r>
        <w:rPr>
          <w:rFonts w:hint="eastAsia"/>
        </w:rPr>
        <w:t>。</w:t>
      </w:r>
    </w:p>
    <w:p>
      <w:pPr>
        <w:pStyle w:val="4"/>
        <w:rPr>
          <w:color w:val="auto"/>
        </w:rPr>
      </w:pPr>
      <w:r>
        <w:rPr>
          <w:rFonts w:hint="eastAsia"/>
          <w:color w:val="auto"/>
        </w:rPr>
        <w:t>减震结构弹塑性动力分析</w:t>
      </w:r>
    </w:p>
    <w:p>
      <w:pPr>
        <w:ind w:firstLine="315" w:firstLineChars="150"/>
      </w:pPr>
      <w:r>
        <w:rPr>
          <w:rFonts w:hint="eastAsia"/>
        </w:rPr>
        <w:t xml:space="preserve"> 与</w:t>
      </w:r>
      <w:r>
        <w:fldChar w:fldCharType="begin"/>
      </w:r>
      <w:r>
        <w:instrText xml:space="preserve"> REF _Ref507062943 \n \h  \* MERGEFORMAT </w:instrText>
      </w:r>
      <w:r>
        <w:fldChar w:fldCharType="separate"/>
      </w:r>
      <w:r>
        <w:rPr>
          <w:rFonts w:hint="eastAsia"/>
        </w:rPr>
        <w:t>5</w:t>
      </w:r>
      <w:r>
        <w:t>.1.11</w:t>
      </w:r>
      <w:r>
        <w:fldChar w:fldCharType="end"/>
      </w:r>
      <w:r>
        <w:rPr>
          <w:rFonts w:hint="eastAsia"/>
        </w:rPr>
        <w:t>条相同。</w:t>
      </w:r>
    </w:p>
    <w:p>
      <w:pPr>
        <w:pStyle w:val="4"/>
        <w:rPr>
          <w:color w:val="auto"/>
        </w:rPr>
      </w:pPr>
      <w:r>
        <w:rPr>
          <w:rFonts w:hint="eastAsia"/>
          <w:color w:val="auto"/>
        </w:rPr>
        <w:t>配筋包络设计</w:t>
      </w:r>
    </w:p>
    <w:p>
      <w:pPr>
        <w:ind w:firstLine="420"/>
      </w:pPr>
      <w:r>
        <w:rPr>
          <w:rFonts w:hint="eastAsia"/>
        </w:rPr>
        <w:t>与</w:t>
      </w:r>
      <w:r>
        <w:fldChar w:fldCharType="begin"/>
      </w:r>
      <w:r>
        <w:instrText xml:space="preserve"> REF _Ref507062993 \n \h  \* MERGEFORMAT </w:instrText>
      </w:r>
      <w:r>
        <w:fldChar w:fldCharType="separate"/>
      </w:r>
      <w:r>
        <w:rPr>
          <w:rFonts w:hint="eastAsia"/>
        </w:rPr>
        <w:t>5</w:t>
      </w:r>
      <w:r>
        <w:t>.1.12</w:t>
      </w:r>
      <w:r>
        <w:fldChar w:fldCharType="end"/>
      </w:r>
      <w:r>
        <w:rPr>
          <w:rFonts w:hint="eastAsia"/>
        </w:rPr>
        <w:t>条相同。</w:t>
      </w:r>
    </w:p>
    <w:p>
      <w:pPr>
        <w:pStyle w:val="4"/>
        <w:rPr>
          <w:color w:val="auto"/>
        </w:rPr>
      </w:pPr>
      <w:r>
        <w:rPr>
          <w:rFonts w:hint="eastAsia"/>
          <w:color w:val="auto"/>
        </w:rPr>
        <w:t>消能器周边构件设计及计算方法</w:t>
      </w:r>
    </w:p>
    <w:p>
      <w:pPr>
        <w:ind w:firstLine="420"/>
      </w:pPr>
      <w:r>
        <w:rPr>
          <w:rFonts w:hint="eastAsia"/>
        </w:rPr>
        <w:t>与</w:t>
      </w:r>
      <w:r>
        <w:fldChar w:fldCharType="begin"/>
      </w:r>
      <w:r>
        <w:instrText xml:space="preserve"> REF _Ref507062998 \n \h  \* MERGEFORMAT </w:instrText>
      </w:r>
      <w:r>
        <w:fldChar w:fldCharType="separate"/>
      </w:r>
      <w:r>
        <w:rPr>
          <w:rFonts w:hint="eastAsia"/>
        </w:rPr>
        <w:t>5</w:t>
      </w:r>
      <w:r>
        <w:t>.1.13</w:t>
      </w:r>
      <w:r>
        <w:fldChar w:fldCharType="end"/>
      </w:r>
      <w:r>
        <w:rPr>
          <w:rFonts w:hint="eastAsia"/>
        </w:rPr>
        <w:t>条相同。</w:t>
      </w:r>
    </w:p>
    <w:p>
      <w:pPr>
        <w:ind w:firstLine="0" w:firstLineChars="0"/>
        <w:rPr>
          <w:sz w:val="28"/>
          <w:szCs w:val="28"/>
        </w:rPr>
      </w:pPr>
    </w:p>
    <w:p>
      <w:pPr>
        <w:pStyle w:val="3"/>
      </w:pPr>
      <w:bookmarkStart w:id="34" w:name="_Toc517273853"/>
      <w:r>
        <w:rPr>
          <w:rFonts w:hint="eastAsia"/>
        </w:rPr>
        <w:t>屈曲约束支撑减震结构设计流程</w:t>
      </w:r>
      <w:bookmarkEnd w:id="34"/>
    </w:p>
    <w:p>
      <w:pPr>
        <w:pStyle w:val="4"/>
        <w:rPr>
          <w:color w:val="auto"/>
        </w:rPr>
      </w:pPr>
      <w:r>
        <w:rPr>
          <w:rFonts w:hint="eastAsia"/>
          <w:color w:val="auto"/>
        </w:rPr>
        <w:t>屈曲约束支撑</w:t>
      </w:r>
    </w:p>
    <w:p>
      <w:pPr>
        <w:ind w:firstLine="420"/>
      </w:pPr>
      <w:r>
        <w:rPr>
          <w:rFonts w:hint="eastAsia"/>
        </w:rPr>
        <w:t>屈曲约束支撑（BRB）仅芯板与其他构件连接，所受的荷载全部由芯板承担，外套筒和填充材料仅约束芯板受压屈曲，使芯板在受拉和受压下均能进入屈服，因而，屈曲约束支撑的滞回性能优良。</w:t>
      </w:r>
    </w:p>
    <w:p>
      <w:pPr>
        <w:ind w:firstLine="420"/>
      </w:pPr>
      <w:r>
        <w:rPr>
          <w:rFonts w:hint="eastAsia"/>
        </w:rPr>
        <w:t>作为消能减震部件小震下BRB保持弹性。中震或大震时BRB进入塑性耗能阶段，达到中震或大震耗能目的。根据以往的工程设计实例，屈曲约束支撑减震结构的实用设计流程可用图5.3.1加以描述。</w:t>
      </w:r>
    </w:p>
    <w:p>
      <w:pPr>
        <w:ind w:firstLine="0" w:firstLineChars="0"/>
        <w:rPr>
          <w:sz w:val="28"/>
          <w:szCs w:val="28"/>
        </w:rPr>
      </w:pPr>
    </w:p>
    <w:p>
      <w:pPr>
        <w:ind w:firstLine="560"/>
        <w:rPr>
          <w:sz w:val="28"/>
          <w:szCs w:val="28"/>
        </w:rPr>
      </w:pPr>
      <w:r>
        <w:rPr>
          <w:rFonts w:hint="eastAsia"/>
          <w:sz w:val="28"/>
          <w:szCs w:val="28"/>
        </w:rPr>
        <w:drawing>
          <wp:inline distT="0" distB="0" distL="114300" distR="114300">
            <wp:extent cx="4440555" cy="5103495"/>
            <wp:effectExtent l="0" t="0" r="17145" b="1905"/>
            <wp:docPr id="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pic:cNvPicPr>
                      <a:picLocks noChangeAspect="1"/>
                    </pic:cNvPicPr>
                  </pic:nvPicPr>
                  <pic:blipFill>
                    <a:blip r:embed="rId18" cstate="print"/>
                    <a:stretch>
                      <a:fillRect/>
                    </a:stretch>
                  </pic:blipFill>
                  <pic:spPr>
                    <a:xfrm>
                      <a:off x="0" y="0"/>
                      <a:ext cx="4440555" cy="5103495"/>
                    </a:xfrm>
                    <a:prstGeom prst="rect">
                      <a:avLst/>
                    </a:prstGeom>
                    <a:noFill/>
                    <a:ln w="9525">
                      <a:noFill/>
                    </a:ln>
                  </pic:spPr>
                </pic:pic>
              </a:graphicData>
            </a:graphic>
          </wp:inline>
        </w:drawing>
      </w:r>
      <w:r>
        <w:rPr>
          <w:rFonts w:hint="eastAsia"/>
          <w:sz w:val="28"/>
          <w:szCs w:val="28"/>
        </w:rPr>
        <w:t xml:space="preserve"> </w:t>
      </w:r>
    </w:p>
    <w:p>
      <w:pPr>
        <w:ind w:firstLine="560"/>
        <w:rPr>
          <w:sz w:val="28"/>
          <w:szCs w:val="28"/>
        </w:rPr>
      </w:pPr>
    </w:p>
    <w:p>
      <w:pPr>
        <w:ind w:firstLine="0" w:firstLineChars="0"/>
        <w:jc w:val="center"/>
        <w:rPr>
          <w:sz w:val="24"/>
          <w:szCs w:val="24"/>
        </w:rPr>
      </w:pPr>
      <w:r>
        <w:rPr>
          <w:rFonts w:hint="eastAsia"/>
          <w:sz w:val="24"/>
          <w:szCs w:val="24"/>
        </w:rPr>
        <w:t>图5.3.1   屈曲约束支撑减震结构的实用设计流程图</w:t>
      </w:r>
    </w:p>
    <w:p>
      <w:pPr>
        <w:ind w:firstLine="0" w:firstLineChars="0"/>
        <w:rPr>
          <w:sz w:val="28"/>
          <w:szCs w:val="28"/>
        </w:rPr>
      </w:pPr>
    </w:p>
    <w:p>
      <w:pPr>
        <w:pStyle w:val="4"/>
        <w:rPr>
          <w:color w:val="auto"/>
        </w:rPr>
      </w:pPr>
      <w:r>
        <w:rPr>
          <w:rFonts w:hint="eastAsia"/>
          <w:color w:val="auto"/>
        </w:rPr>
        <w:t>确定减震目标和性能目标</w:t>
      </w:r>
    </w:p>
    <w:p>
      <w:pPr>
        <w:ind w:firstLine="420"/>
      </w:pPr>
      <w:r>
        <w:rPr>
          <w:rFonts w:hint="eastAsia" w:ascii="宋体" w:hAnsi="宋体" w:cs="宋体"/>
        </w:rPr>
        <w:t>屈曲约束支撑多遇地震下仅为主体结构提供附加刚度，实际工程中需要根据结构计算结果最终确定阻尼器为结构附加的刚度。同时确定的结构的性能目标需满足参考</w:t>
      </w:r>
      <w:r>
        <w:rPr>
          <w:rFonts w:hint="eastAsia"/>
        </w:rPr>
        <w:t>4.1.1</w:t>
      </w:r>
      <w:r>
        <w:rPr>
          <w:rFonts w:hint="eastAsia" w:ascii="宋体" w:hAnsi="宋体" w:cs="宋体"/>
        </w:rPr>
        <w:t>相关要求。</w:t>
      </w:r>
    </w:p>
    <w:p>
      <w:pPr>
        <w:pStyle w:val="4"/>
        <w:rPr>
          <w:color w:val="auto"/>
        </w:rPr>
      </w:pPr>
      <w:r>
        <w:rPr>
          <w:rFonts w:hint="eastAsia"/>
          <w:color w:val="auto"/>
        </w:rPr>
        <w:t>确定主体结构附加刚度</w:t>
      </w:r>
    </w:p>
    <w:p>
      <w:pPr>
        <w:ind w:firstLine="420"/>
      </w:pPr>
      <w:r>
        <w:rPr>
          <w:rFonts w:hint="eastAsia"/>
        </w:rPr>
        <w:t>在屈曲约束支撑减震结构设计中，主要依据预期的水平向地震力和位移控制要求及耗能等参数，估算出减震结构所需附加刚度，据此选择合适的消能器型号，并配置在适当的位置。消能减震结构刚度</w:t>
      </w:r>
      <w:r>
        <w:t>为</w:t>
      </w:r>
      <w:r>
        <w:rPr>
          <w:rFonts w:hint="eastAsia"/>
        </w:rPr>
        <w:t>消能部件</w:t>
      </w:r>
      <w:r>
        <w:t>附加</w:t>
      </w:r>
      <w:r>
        <w:rPr>
          <w:rFonts w:hint="eastAsia"/>
        </w:rPr>
        <w:t>有效</w:t>
      </w:r>
      <w:r>
        <w:t>刚度与主结构刚度之和</w:t>
      </w:r>
      <w:r>
        <w:rPr>
          <w:rFonts w:hint="eastAsia"/>
        </w:rPr>
        <w:t>。</w:t>
      </w:r>
    </w:p>
    <w:p>
      <w:pPr>
        <w:pStyle w:val="4"/>
        <w:rPr>
          <w:color w:val="auto"/>
        </w:rPr>
      </w:pPr>
      <w:r>
        <w:rPr>
          <w:rFonts w:hint="eastAsia"/>
          <w:color w:val="auto"/>
        </w:rPr>
        <w:t>消能器的选择</w:t>
      </w:r>
    </w:p>
    <w:p>
      <w:pPr>
        <w:ind w:firstLine="315" w:firstLineChars="150"/>
      </w:pPr>
      <w:r>
        <w:rPr>
          <w:rFonts w:hint="eastAsia"/>
        </w:rPr>
        <w:t>与</w:t>
      </w:r>
      <w:r>
        <w:fldChar w:fldCharType="begin"/>
      </w:r>
      <w:r>
        <w:instrText xml:space="preserve"> REF _Ref507063411 \n \h  \* MERGEFORMAT </w:instrText>
      </w:r>
      <w:r>
        <w:fldChar w:fldCharType="separate"/>
      </w:r>
      <w:r>
        <w:rPr>
          <w:rFonts w:hint="eastAsia"/>
        </w:rPr>
        <w:t>5</w:t>
      </w:r>
      <w:r>
        <w:t>.2.4</w:t>
      </w:r>
      <w:r>
        <w:fldChar w:fldCharType="end"/>
      </w:r>
      <w:r>
        <w:rPr>
          <w:rFonts w:hint="eastAsia"/>
        </w:rPr>
        <w:t>条相同。</w:t>
      </w:r>
    </w:p>
    <w:p>
      <w:pPr>
        <w:pStyle w:val="4"/>
        <w:rPr>
          <w:color w:val="auto"/>
        </w:rPr>
      </w:pPr>
      <w:r>
        <w:rPr>
          <w:rFonts w:hint="eastAsia"/>
          <w:color w:val="auto"/>
        </w:rPr>
        <w:t>确定消能器型式、位置和数量</w:t>
      </w:r>
    </w:p>
    <w:p>
      <w:pPr>
        <w:ind w:firstLine="315" w:firstLineChars="150"/>
      </w:pPr>
      <w:r>
        <w:rPr>
          <w:rFonts w:hint="eastAsia"/>
        </w:rPr>
        <w:t>1 根据消能器的特点和建筑上使用要求选用合理的布置形式。屈曲约束支撑由于其特殊的构造方法，可采用单斜撑、人字形或V形支撑布置，也可采用偏心支撑的布置形式，但不可选用X型支撑布置，同时，当采用偏心支撑布置时，设计中应保证支撑先于框架梁屈服。</w:t>
      </w:r>
    </w:p>
    <w:p>
      <w:pPr>
        <w:ind w:firstLine="315" w:firstLineChars="150"/>
      </w:pPr>
      <w:r>
        <w:rPr>
          <w:rFonts w:hint="eastAsia"/>
        </w:rPr>
        <w:t>2 确定消能器安装位置</w:t>
      </w:r>
    </w:p>
    <w:p>
      <w:pPr>
        <w:ind w:firstLine="315" w:firstLineChars="150"/>
      </w:pPr>
      <w:r>
        <w:rPr>
          <w:rFonts w:hint="eastAsia"/>
        </w:rPr>
        <w:t>消能器在楼层平面内的布置应遵循“均匀、分散、对称、周边”的原则。应尽量考虑不影响建筑功能的前提下，安装于便于检查、维修和更换的位置。</w:t>
      </w:r>
    </w:p>
    <w:p>
      <w:pPr>
        <w:ind w:right="189" w:rightChars="90" w:firstLine="420"/>
        <w:jc w:val="left"/>
      </w:pPr>
      <w:r>
        <w:rPr>
          <w:rFonts w:hint="eastAsia"/>
        </w:rPr>
        <w:t>3 确定消能器数量</w:t>
      </w:r>
    </w:p>
    <w:p>
      <w:pPr>
        <w:ind w:firstLine="420"/>
      </w:pPr>
      <w:r>
        <w:rPr>
          <w:rFonts w:hint="eastAsia"/>
        </w:rPr>
        <w:t>根据经验及结构计算模型预估BRB数量。</w:t>
      </w:r>
    </w:p>
    <w:p>
      <w:pPr>
        <w:pStyle w:val="4"/>
        <w:rPr>
          <w:color w:val="auto"/>
        </w:rPr>
      </w:pPr>
      <w:r>
        <w:rPr>
          <w:rFonts w:hint="eastAsia"/>
          <w:color w:val="auto"/>
        </w:rPr>
        <w:t>确定消能器参数</w:t>
      </w:r>
    </w:p>
    <w:p>
      <w:pPr>
        <w:ind w:firstLine="0" w:firstLineChars="0"/>
      </w:pPr>
      <w:r>
        <w:rPr>
          <w:rFonts w:hint="eastAsia"/>
        </w:rPr>
        <w:t xml:space="preserve">   1 屈曲约束支撑的阻尼力F与相应位移之间具有下列关系：F=</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w:rPr>
                <w:rFonts w:ascii="Cambria Math" w:hAnsi="Cambria Math"/>
              </w:rPr>
              <m:t>eff</m:t>
            </m:r>
            <m:ctrlPr>
              <w:rPr>
                <w:rFonts w:ascii="Cambria Math" w:hAnsi="Cambria Math"/>
              </w:rPr>
            </m:ctrlPr>
          </m:sub>
        </m:sSub>
        <m:r>
          <m:rPr>
            <m:sty m:val="p"/>
          </m:rPr>
          <w:rPr>
            <w:rFonts w:ascii="Cambria Math" w:hAnsi="Cambria Math"/>
          </w:rPr>
          <m:t>∆U</m:t>
        </m:r>
      </m:oMath>
      <w:r>
        <w:rPr>
          <w:rFonts w:hint="eastAsia"/>
        </w:rPr>
        <w:t>，（</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w:rPr>
                <w:rFonts w:ascii="Cambria Math" w:hAnsi="Cambria Math"/>
              </w:rPr>
              <m:t>eff</m:t>
            </m:r>
            <m:ctrlPr>
              <w:rPr>
                <w:rFonts w:ascii="Cambria Math" w:hAnsi="Cambria Math"/>
              </w:rPr>
            </m:ctrlPr>
          </m:sub>
        </m:sSub>
      </m:oMath>
      <w:r>
        <w:rPr>
          <w:rFonts w:hint="eastAsia"/>
        </w:rPr>
        <w:t>为消能器有效刚度；</w:t>
      </w:r>
      <m:oMath>
        <m:r>
          <m:rPr>
            <m:sty m:val="p"/>
          </m:rPr>
          <w:rPr>
            <w:rFonts w:ascii="Cambria Math" w:hAnsi="Cambria Math"/>
          </w:rPr>
          <m:t>∆U</m:t>
        </m:r>
      </m:oMath>
      <w:r>
        <w:rPr>
          <w:rFonts w:hint="eastAsia"/>
        </w:rPr>
        <w:t>为沿消能方向消能器的位移）</w:t>
      </w:r>
    </w:p>
    <w:p>
      <w:pPr>
        <w:ind w:firstLine="0" w:firstLineChars="0"/>
      </w:pPr>
      <w:r>
        <w:rPr>
          <w:rFonts w:hint="eastAsia"/>
        </w:rPr>
        <w:t>故消能器参数主要涉及三个：消能器屈服刚度</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w:rPr>
                <w:rFonts w:ascii="Cambria Math" w:hAnsi="Cambria Math"/>
              </w:rPr>
              <m:t>a</m:t>
            </m:r>
            <m:ctrlPr>
              <w:rPr>
                <w:rFonts w:ascii="Cambria Math" w:hAnsi="Cambria Math"/>
              </w:rPr>
            </m:ctrlPr>
          </m:sub>
        </m:sSub>
      </m:oMath>
      <w:r>
        <w:rPr>
          <w:rFonts w:hint="eastAsia"/>
        </w:rPr>
        <w:t>、沿</w:t>
      </w:r>
      <w:r>
        <w:t>消能方向</w:t>
      </w:r>
      <w:r>
        <w:rPr>
          <w:rFonts w:hint="eastAsia"/>
        </w:rPr>
        <w:t>消</w:t>
      </w:r>
      <w:r>
        <w:t>能器</w:t>
      </w:r>
      <w:r>
        <w:rPr>
          <w:rFonts w:hint="eastAsia"/>
        </w:rPr>
        <w:t>屈服</w:t>
      </w:r>
      <w:r>
        <w:t>位移</w:t>
      </w:r>
      <m:oMath>
        <m:sSub>
          <m:sSubPr>
            <m:ctrlPr>
              <w:rPr>
                <w:rFonts w:ascii="Cambria Math" w:hAnsi="Cambria Math"/>
              </w:rPr>
            </m:ctrlPr>
          </m:sSubPr>
          <m:e>
            <m:r>
              <m:rPr>
                <m:sty m:val="p"/>
              </m:rPr>
              <w:rPr>
                <w:rFonts w:ascii="Cambria Math" w:hAnsi="Cambria Math"/>
              </w:rPr>
              <m:t>U</m:t>
            </m:r>
            <m:ctrlPr>
              <w:rPr>
                <w:rFonts w:ascii="Cambria Math" w:hAnsi="Cambria Math"/>
              </w:rPr>
            </m:ctrlPr>
          </m:e>
          <m:sub>
            <m:r>
              <w:rPr>
                <w:rFonts w:ascii="Cambria Math" w:hAnsi="Cambria Math"/>
              </w:rPr>
              <m:t>y</m:t>
            </m:r>
            <m:ctrlPr>
              <w:rPr>
                <w:rFonts w:ascii="Cambria Math" w:hAnsi="Cambria Math"/>
              </w:rPr>
            </m:ctrlPr>
          </m:sub>
        </m:sSub>
      </m:oMath>
      <w:r>
        <w:rPr>
          <w:rFonts w:hint="eastAsia"/>
        </w:rPr>
        <w:t>、消能器</w:t>
      </w:r>
      <w:r>
        <w:t>屈服后刚度比</w:t>
      </w:r>
      <w:r>
        <w:rPr>
          <w:rFonts w:hint="eastAsia"/>
        </w:rPr>
        <w:t>。</w:t>
      </w:r>
    </w:p>
    <w:p>
      <w:pPr>
        <w:ind w:firstLine="0" w:firstLineChars="0"/>
      </w:pPr>
      <w:r>
        <w:rPr>
          <w:rFonts w:hint="eastAsia"/>
        </w:rPr>
        <w:t xml:space="preserve">   2 根据消能器的设计理论和分配理论，当确定了附加</w:t>
      </w:r>
      <w:r>
        <w:t>刚度</w:t>
      </w:r>
      <w:r>
        <w:rPr>
          <w:rFonts w:hint="eastAsia"/>
        </w:rPr>
        <w:t>和小震出力</w:t>
      </w:r>
      <w:r>
        <w:t>后</w:t>
      </w:r>
      <w:r>
        <w:rPr>
          <w:rFonts w:hint="eastAsia"/>
        </w:rPr>
        <w:t>（</w:t>
      </w:r>
      <w:r>
        <w:t>即确立了结构的目标性能）</w:t>
      </w:r>
      <w:r>
        <w:rPr>
          <w:rFonts w:hint="eastAsia"/>
        </w:rPr>
        <w:t>，</w:t>
      </w:r>
      <w:r>
        <w:t>即可确定消能器</w:t>
      </w:r>
      <w:r>
        <w:rPr>
          <w:rFonts w:hint="eastAsia"/>
        </w:rPr>
        <w:t>相关</w:t>
      </w:r>
      <w:r>
        <w:t>参数</w:t>
      </w:r>
      <w:r>
        <w:rPr>
          <w:rFonts w:hint="eastAsia"/>
        </w:rPr>
        <w:t>。</w:t>
      </w:r>
    </w:p>
    <w:p>
      <w:pPr>
        <w:ind w:right="189" w:rightChars="90" w:firstLine="525" w:firstLineChars="250"/>
        <w:jc w:val="left"/>
      </w:pPr>
      <w:r>
        <w:rPr>
          <w:rFonts w:hint="eastAsia"/>
        </w:rPr>
        <w:t>工程上部结构采用PKPM（YJK）软件，利用线性等效方法，用等代斜杆来模拟消能器，在进行消能减震设计时，确保BRB屈服刚度与PKPM（YJK）计算模型中的等代支撑刚度等效。</w:t>
      </w:r>
    </w:p>
    <w:p>
      <w:pPr>
        <w:ind w:right="189" w:rightChars="90" w:firstLine="420"/>
        <w:jc w:val="left"/>
      </w:pPr>
      <w:r>
        <w:rPr>
          <w:rFonts w:hint="eastAsia"/>
        </w:rPr>
        <w:t>消能器参数估算依据如下：</w:t>
      </w:r>
    </w:p>
    <w:p>
      <w:pPr>
        <w:ind w:right="189" w:rightChars="90" w:firstLine="420"/>
        <w:jc w:val="left"/>
      </w:pPr>
      <w:r>
        <w:rPr>
          <w:rFonts w:hint="eastAsia"/>
        </w:rPr>
        <w:t>1）根据性能目标要求确定附加刚度及等代支撑截面；</w:t>
      </w:r>
    </w:p>
    <w:p>
      <w:pPr>
        <w:ind w:right="189" w:rightChars="90" w:firstLine="420"/>
        <w:jc w:val="left"/>
      </w:pPr>
      <w:r>
        <w:rPr>
          <w:rFonts w:hint="eastAsia"/>
        </w:rPr>
        <w:t>2）依据小震作用下支撑出力设计BRB参数；</w:t>
      </w:r>
    </w:p>
    <w:p>
      <w:pPr>
        <w:ind w:right="189" w:rightChars="90" w:firstLine="420"/>
        <w:jc w:val="left"/>
      </w:pPr>
      <w:r>
        <w:rPr>
          <w:rFonts w:hint="eastAsia"/>
        </w:rPr>
        <w:t>3）复核小震时程分析中的层间位移角、楼层剪力是否满足预期性能目标。</w:t>
      </w:r>
    </w:p>
    <w:p>
      <w:pPr>
        <w:ind w:right="189" w:rightChars="90" w:firstLine="315" w:firstLineChars="150"/>
        <w:jc w:val="left"/>
      </w:pPr>
      <w:r>
        <w:rPr>
          <w:rFonts w:hint="eastAsia"/>
        </w:rPr>
        <w:t>3 屈曲约束支撑的力学模型</w:t>
      </w:r>
    </w:p>
    <w:p>
      <w:pPr>
        <w:ind w:left="570" w:right="189" w:rightChars="90" w:firstLine="0" w:firstLineChars="0"/>
        <w:jc w:val="left"/>
      </w:pPr>
      <w:r>
        <w:rPr>
          <w:rFonts w:hint="eastAsia"/>
        </w:rPr>
        <w:t>1）BRB屈服力</w:t>
      </w:r>
    </w:p>
    <w:p>
      <w:pPr>
        <w:ind w:firstLine="0" w:firstLineChars="0"/>
      </w:pPr>
      <w:r>
        <w:rPr>
          <w:rFonts w:hint="eastAsia"/>
        </w:rPr>
        <w:t>屈曲约束支撑（BRB）为轴心受力构件，其核心截面在轴向力作用下可全截面屈服，故其屈服力按下式计算：</w:t>
      </w:r>
    </w:p>
    <w:p>
      <w:pPr>
        <w:ind w:firstLine="0" w:firstLineChars="0"/>
        <w:jc w:val="right"/>
      </w:pP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m:t>
            </m:r>
            <m:ctrlPr>
              <w:rPr>
                <w:rFonts w:ascii="Cambria Math" w:hAnsi="Cambria Math"/>
              </w:rPr>
            </m:ctrlPr>
          </m:sub>
        </m:sSub>
      </m:oMath>
      <w:r>
        <w:rPr>
          <w:rFonts w:hint="eastAsia"/>
        </w:rPr>
        <w:t>=A</w:t>
      </w: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m:t>
            </m:r>
            <m:ctrlPr>
              <w:rPr>
                <w:rFonts w:ascii="Cambria Math" w:hAnsi="Cambria Math"/>
              </w:rPr>
            </m:ctrlPr>
          </m:sub>
        </m:sSub>
      </m:oMath>
      <w:r>
        <w:rPr>
          <w:rFonts w:hint="eastAsia"/>
        </w:rPr>
        <w:t xml:space="preserve">                               （5.3.6-1）</w:t>
      </w:r>
    </w:p>
    <w:p>
      <w:pPr>
        <w:ind w:firstLine="420"/>
        <w:rPr>
          <w:rFonts w:hint="eastAsia" w:ascii="Cambria Math" w:hAnsi="Cambria Math"/>
        </w:rPr>
      </w:pPr>
      <w:r>
        <w:rPr>
          <w:rFonts w:hint="eastAsia"/>
        </w:rPr>
        <w:t>式中：A</w:t>
      </w:r>
      <w:r>
        <w:rPr>
          <w:rFonts w:hint="eastAsia" w:ascii="Cambria Math" w:hAnsi="Cambria Math"/>
        </w:rPr>
        <w:t xml:space="preserve">为消能器核心钢材面积, </w:t>
      </w: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m:t>
            </m:r>
            <m:ctrlPr>
              <w:rPr>
                <w:rFonts w:ascii="Cambria Math" w:hAnsi="Cambria Math"/>
              </w:rPr>
            </m:ctrlPr>
          </m:sub>
        </m:sSub>
      </m:oMath>
      <w:r>
        <w:rPr>
          <w:rFonts w:hint="eastAsia" w:ascii="Cambria Math" w:hAnsi="Cambria Math"/>
        </w:rPr>
        <w:t>为核心钢材屈服强度。</w:t>
      </w:r>
    </w:p>
    <w:p>
      <w:pPr>
        <w:ind w:left="570" w:right="189" w:rightChars="90" w:firstLine="0" w:firstLineChars="0"/>
        <w:jc w:val="left"/>
      </w:pPr>
      <w:r>
        <w:rPr>
          <w:rFonts w:hint="eastAsia"/>
        </w:rPr>
        <w:t>2) BRB刚度</w:t>
      </w:r>
    </w:p>
    <w:p>
      <w:pPr>
        <w:ind w:firstLine="420"/>
      </w:pPr>
      <w:r>
        <w:rPr>
          <w:rFonts w:hint="eastAsia"/>
        </w:rPr>
        <w:t>屈曲约束支撑（BRB）的弹性刚度可按下式计算：</w:t>
      </w:r>
    </w:p>
    <w:p>
      <w:pPr>
        <w:wordWrap w:val="0"/>
        <w:ind w:firstLine="420"/>
        <w:jc w:val="right"/>
      </w:pP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d</m:t>
            </m:r>
            <m:ctrlPr>
              <w:rPr>
                <w:rFonts w:ascii="Cambria Math" w:hAnsi="Cambria Math"/>
              </w:rPr>
            </m:ctrlPr>
          </m:sub>
        </m:sSub>
      </m:oMath>
      <w:r>
        <w:rPr>
          <w:rFonts w:hint="eastAsia"/>
        </w:rPr>
        <w:t>=</w:t>
      </w:r>
      <m:oMath>
        <m:f>
          <m:fPr>
            <m:ctrlPr>
              <w:rPr>
                <w:rFonts w:ascii="Cambria Math" w:hAnsi="Cambria Math"/>
              </w:rPr>
            </m:ctrlPr>
          </m:fPr>
          <m:num>
            <m:r>
              <w:rPr>
                <w:rFonts w:ascii="Cambria Math" w:hAnsi="Cambria Math"/>
              </w:rPr>
              <m:t>EA</m:t>
            </m:r>
            <m:ctrlPr>
              <w:rPr>
                <w:rFonts w:ascii="Cambria Math" w:hAnsi="Cambria Math"/>
              </w:rPr>
            </m:ctrlPr>
          </m:num>
          <m:den>
            <m:sSub>
              <m:sSubPr>
                <m:ctrlPr>
                  <w:rPr>
                    <w:rFonts w:ascii="Cambria Math" w:hAnsi="Cambria Math"/>
                    <w:i/>
                  </w:rPr>
                </m:ctrlPr>
              </m:sSubPr>
              <m:e>
                <m:r>
                  <w:rPr>
                    <w:rFonts w:ascii="Cambria Math" w:hAnsi="Cambria Math"/>
                  </w:rPr>
                  <m:t>L</m:t>
                </m:r>
                <m:ctrlPr>
                  <w:rPr>
                    <w:rFonts w:ascii="Cambria Math" w:hAnsi="Cambria Math"/>
                    <w:i/>
                  </w:rPr>
                </m:ctrlPr>
              </m:e>
              <m:sub>
                <m:r>
                  <w:rPr>
                    <w:rFonts w:ascii="Cambria Math" w:hAnsi="Cambria Math"/>
                  </w:rPr>
                  <m:t>d</m:t>
                </m:r>
                <m:ctrlPr>
                  <w:rPr>
                    <w:rFonts w:ascii="Cambria Math" w:hAnsi="Cambria Math"/>
                    <w:i/>
                  </w:rPr>
                </m:ctrlPr>
              </m:sub>
            </m:sSub>
            <m:ctrlPr>
              <w:rPr>
                <w:rFonts w:ascii="Cambria Math" w:hAnsi="Cambria Math"/>
              </w:rPr>
            </m:ctrlPr>
          </m:den>
        </m:f>
      </m:oMath>
      <w:r>
        <w:rPr>
          <w:rFonts w:hint="eastAsia"/>
        </w:rPr>
        <w:t xml:space="preserve">                          （5.3.6-2）</w:t>
      </w:r>
    </w:p>
    <w:p>
      <w:pPr>
        <w:ind w:firstLine="420"/>
        <w:rPr>
          <w:rFonts w:hint="eastAsia" w:ascii="Cambria Math" w:hAnsi="Cambria Math"/>
        </w:rPr>
      </w:pPr>
      <w:r>
        <w:rPr>
          <w:rFonts w:hint="eastAsia"/>
        </w:rPr>
        <w:t>式中：</w:t>
      </w:r>
      <m:oMath>
        <m:r>
          <w:rPr>
            <w:rFonts w:ascii="Cambria Math" w:hAnsi="Cambria Math"/>
          </w:rPr>
          <m:t>E</m:t>
        </m:r>
      </m:oMath>
      <w:r>
        <w:rPr>
          <w:rFonts w:hint="eastAsia"/>
        </w:rPr>
        <w:t>为钢材弹性模量,</w:t>
      </w:r>
      <w:r>
        <w:rPr>
          <w:rFonts w:hint="eastAsia" w:ascii="Cambria Math" w:hAnsi="Cambria Math"/>
        </w:rPr>
        <w:t xml:space="preserve"> </w:t>
      </w:r>
      <m:oMath>
        <m:sSub>
          <m:sSubPr>
            <m:ctrlPr>
              <w:rPr>
                <w:rFonts w:ascii="Cambria Math" w:hAnsi="Cambria Math"/>
                <w:i/>
              </w:rPr>
            </m:ctrlPr>
          </m:sSubPr>
          <m:e>
            <m:r>
              <w:rPr>
                <w:rFonts w:ascii="Cambria Math" w:hAnsi="Cambria Math"/>
              </w:rPr>
              <m:t>L</m:t>
            </m:r>
            <m:ctrlPr>
              <w:rPr>
                <w:rFonts w:ascii="Cambria Math" w:hAnsi="Cambria Math"/>
                <w:i/>
              </w:rPr>
            </m:ctrlPr>
          </m:e>
          <m:sub>
            <m:r>
              <w:rPr>
                <w:rFonts w:ascii="Cambria Math" w:hAnsi="Cambria Math"/>
              </w:rPr>
              <m:t>d</m:t>
            </m:r>
            <m:ctrlPr>
              <w:rPr>
                <w:rFonts w:ascii="Cambria Math" w:hAnsi="Cambria Math"/>
                <w:i/>
              </w:rPr>
            </m:ctrlPr>
          </m:sub>
        </m:sSub>
      </m:oMath>
      <w:r>
        <w:rPr>
          <w:rFonts w:hint="eastAsia" w:ascii="Cambria Math" w:hAnsi="Cambria Math"/>
        </w:rPr>
        <w:t>为</w:t>
      </w:r>
      <w:r>
        <w:rPr>
          <w:rFonts w:hint="eastAsia"/>
        </w:rPr>
        <w:t>消能器长度</w:t>
      </w:r>
      <w:r>
        <w:rPr>
          <w:rFonts w:hint="eastAsia" w:ascii="Cambria Math" w:hAnsi="Cambria Math"/>
        </w:rPr>
        <w:t>。</w:t>
      </w:r>
    </w:p>
    <w:p>
      <w:pPr>
        <w:ind w:firstLine="420"/>
      </w:pPr>
      <w:r>
        <w:rPr>
          <w:rFonts w:hint="eastAsia"/>
        </w:rPr>
        <w:t>3) BRB屈服位移</w:t>
      </w:r>
    </w:p>
    <w:p>
      <w:pPr>
        <w:ind w:firstLine="420"/>
      </w:pPr>
      <w:r>
        <w:rPr>
          <w:rFonts w:hint="eastAsia"/>
        </w:rPr>
        <w:t>软钢消能器的屈服位移可按下式计算：</w:t>
      </w:r>
    </w:p>
    <w:p>
      <w:pPr>
        <w:ind w:firstLine="420"/>
        <w:jc w:val="right"/>
      </w:pPr>
      <m:oMath>
        <m:sSub>
          <m:sSubPr>
            <m:ctrlPr>
              <w:rPr>
                <w:rFonts w:ascii="Cambria Math" w:hAnsi="Cambria Math"/>
              </w:rPr>
            </m:ctrlPr>
          </m:sSubPr>
          <m:e>
            <m:r>
              <w:rPr>
                <w:rFonts w:ascii="Cambria Math" w:hAnsi="Cambria Math"/>
              </w:rPr>
              <m:t>D</m:t>
            </m:r>
            <m:ctrlPr>
              <w:rPr>
                <w:rFonts w:ascii="Cambria Math" w:hAnsi="Cambria Math"/>
              </w:rPr>
            </m:ctrlPr>
          </m:e>
          <m:sub>
            <m:r>
              <w:rPr>
                <w:rFonts w:ascii="Cambria Math" w:hAnsi="Cambria Math"/>
              </w:rPr>
              <m:t>y</m:t>
            </m:r>
            <m:ctrlPr>
              <w:rPr>
                <w:rFonts w:ascii="Cambria Math" w:hAnsi="Cambria Math"/>
              </w:rPr>
            </m:ctrlPr>
          </m:sub>
        </m:sSub>
      </m:oMath>
      <w:r>
        <w:rPr>
          <w:rFonts w:hint="eastAsia"/>
        </w:rPr>
        <w:t>=</w:t>
      </w:r>
      <m:oMath>
        <m:f>
          <m:fPr>
            <m:ctrlPr>
              <w:rPr>
                <w:rFonts w:ascii="Cambria Math" w:hAnsi="Cambria Math"/>
              </w:rPr>
            </m:ctrlPr>
          </m:fPr>
          <m:num>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d</m:t>
                </m:r>
                <m:ctrlPr>
                  <w:rPr>
                    <w:rFonts w:ascii="Cambria Math" w:hAnsi="Cambria Math"/>
                  </w:rPr>
                </m:ctrlPr>
              </m:sub>
            </m:sSub>
            <m:ctrlPr>
              <w:rPr>
                <w:rFonts w:ascii="Cambria Math" w:hAnsi="Cambria Math"/>
              </w:rPr>
            </m:ctrlPr>
          </m:den>
        </m:f>
      </m:oMath>
      <w:r>
        <w:rPr>
          <w:rFonts w:hint="eastAsia"/>
        </w:rPr>
        <w:t xml:space="preserve">                         （5.3.6-3）</w:t>
      </w:r>
    </w:p>
    <w:p>
      <w:pPr>
        <w:ind w:right="189" w:rightChars="90" w:firstLine="315" w:firstLineChars="150"/>
        <w:jc w:val="left"/>
      </w:pPr>
      <w:r>
        <w:rPr>
          <w:rFonts w:hint="eastAsia"/>
        </w:rPr>
        <w:t>4  BRB在弹性模型中等效截面的推导</w:t>
      </w:r>
    </w:p>
    <w:p>
      <w:pPr>
        <w:ind w:firstLine="420"/>
      </w:pPr>
      <w:r>
        <w:rPr>
          <w:rFonts w:hint="eastAsia"/>
        </w:rPr>
        <w:t>1）</w:t>
      </w:r>
      <w:r>
        <w:t>支撑等效刚度</w:t>
      </w:r>
    </w:p>
    <w:p>
      <w:pPr>
        <w:spacing w:line="360" w:lineRule="auto"/>
        <w:ind w:firstLine="420"/>
      </w:pPr>
      <w:r>
        <w:t>设</w:t>
      </w:r>
      <m:oMath>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e</m:t>
            </m:r>
            <m:ctrlPr>
              <w:rPr>
                <w:rFonts w:ascii="Cambria Math" w:hAnsi="Cambria Math"/>
              </w:rPr>
            </m:ctrlPr>
          </m:sub>
        </m:sSub>
      </m:oMath>
      <w:r>
        <w:t>为模型中截面面积，</w:t>
      </w:r>
      <m:oMath>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e</m:t>
            </m:r>
            <m:ctrlPr>
              <w:rPr>
                <w:rFonts w:ascii="Cambria Math" w:hAnsi="Cambria Math"/>
              </w:rPr>
            </m:ctrlPr>
          </m:sub>
        </m:sSub>
      </m:oMath>
      <w:r>
        <w:t>为支撑轴线长度，则支撑在模型中等效刚度</w:t>
      </w: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e</m:t>
            </m:r>
            <m:ctrlPr>
              <w:rPr>
                <w:rFonts w:ascii="Cambria Math" w:hAnsi="Cambria Math"/>
              </w:rPr>
            </m:ctrlPr>
          </m:sub>
        </m:sSub>
      </m:oMath>
      <w:r>
        <w:t>按下列公式计算：</w:t>
      </w:r>
    </w:p>
    <w:p>
      <w:pPr>
        <w:spacing w:line="360" w:lineRule="auto"/>
        <w:ind w:firstLine="420"/>
        <w:jc w:val="right"/>
      </w:pP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e</m:t>
            </m:r>
            <m:ctrlPr>
              <w:rPr>
                <w:rFonts w:ascii="Cambria Math" w:hAnsi="Cambria Math"/>
              </w:rPr>
            </m:ctrlPr>
          </m:sub>
        </m:sSub>
      </m:oMath>
      <w:r>
        <w:rPr>
          <w:rFonts w:hint="eastAsia"/>
        </w:rPr>
        <w:t>=</w:t>
      </w:r>
      <m:oMath>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den>
        </m:f>
      </m:oMath>
      <w:r>
        <w:rPr>
          <w:rFonts w:hint="eastAsia"/>
        </w:rPr>
        <w:t xml:space="preserve">                         （5.3.6-4）</w:t>
      </w:r>
    </w:p>
    <w:p>
      <w:pPr>
        <w:ind w:firstLine="420"/>
      </w:pPr>
      <w:r>
        <w:rPr>
          <w:rFonts w:hint="eastAsia"/>
        </w:rPr>
        <w:t>2）</w:t>
      </w:r>
      <w:r>
        <w:t>支撑的刚度组成及芯板面积计算</w:t>
      </w:r>
    </w:p>
    <w:p>
      <w:pPr>
        <w:widowControl/>
        <w:ind w:firstLine="420"/>
      </w:pPr>
      <w:r>
        <w:t>模型中的支撑模型为整个轴线长度，真正的耗能部分则仅是芯板部分，为方便确定支撑吨位，将支撑分为两个部分：耗能部分 (即芯板部分，以下标n标示)与非耗能部分（包括梁柱节点、支撑节点及支撑弹性段部分，以下标m标示）</w:t>
      </w:r>
    </w:p>
    <w:p>
      <w:pPr>
        <w:ind w:left="570" w:right="189" w:rightChars="90" w:firstLine="0" w:firstLineChars="0"/>
        <w:jc w:val="left"/>
        <w:rPr>
          <w:sz w:val="24"/>
          <w:szCs w:val="24"/>
        </w:rPr>
      </w:pPr>
      <w:r>
        <w:rPr>
          <w:b/>
          <w:sz w:val="28"/>
          <w:szCs w:val="28"/>
        </w:rPr>
        <w:drawing>
          <wp:inline distT="0" distB="0" distL="114300" distR="114300">
            <wp:extent cx="2992120" cy="2516505"/>
            <wp:effectExtent l="0" t="0" r="17780" b="17145"/>
            <wp:docPr id="9" name="图片 19"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descr="说明: 1"/>
                    <pic:cNvPicPr>
                      <a:picLocks noChangeAspect="1"/>
                    </pic:cNvPicPr>
                  </pic:nvPicPr>
                  <pic:blipFill>
                    <a:blip r:embed="rId19" cstate="print"/>
                    <a:stretch>
                      <a:fillRect/>
                    </a:stretch>
                  </pic:blipFill>
                  <pic:spPr>
                    <a:xfrm>
                      <a:off x="0" y="0"/>
                      <a:ext cx="2992120" cy="2516505"/>
                    </a:xfrm>
                    <a:prstGeom prst="rect">
                      <a:avLst/>
                    </a:prstGeom>
                    <a:noFill/>
                    <a:ln w="9525">
                      <a:noFill/>
                    </a:ln>
                  </pic:spPr>
                </pic:pic>
              </a:graphicData>
            </a:graphic>
          </wp:inline>
        </w:drawing>
      </w:r>
    </w:p>
    <w:p>
      <w:pPr>
        <w:widowControl/>
        <w:ind w:firstLine="420"/>
      </w:pPr>
      <w:r>
        <w:t>耗能部分与非耗能部分串联组成模型中的支撑刚度，因此根据刚度串联公式可计算出芯板面积：</w:t>
      </w:r>
      <m:oMath>
        <m:f>
          <m:fPr>
            <m:ctrlPr>
              <w:rPr>
                <w:rFonts w:ascii="Cambria Math" w:hAnsi="Cambria Math"/>
              </w:rPr>
            </m:ctrlPr>
          </m:fPr>
          <m:num>
            <m:r>
              <w:rPr>
                <w:rFonts w:ascii="Cambria Math" w:hAnsi="Cambria Math"/>
              </w:rPr>
              <m:t>1</m:t>
            </m:r>
            <m:ctrlPr>
              <w:rPr>
                <w:rFonts w:ascii="Cambria Math" w:hAnsi="Cambria Math"/>
              </w:rPr>
            </m:ctrlPr>
          </m:num>
          <m:den>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den>
        </m:f>
      </m:oMath>
      <w:r>
        <w:rPr>
          <w:rFonts w:hint="eastAsia"/>
        </w:rPr>
        <w:t>=</w:t>
      </w:r>
      <m:oMath>
        <m:f>
          <m:fPr>
            <m:ctrlPr>
              <w:rPr>
                <w:rFonts w:ascii="Cambria Math" w:hAnsi="Cambria Math"/>
              </w:rPr>
            </m:ctrlPr>
          </m:fPr>
          <m:num>
            <m:r>
              <w:rPr>
                <w:rFonts w:ascii="Cambria Math" w:hAnsi="Cambria Math"/>
              </w:rPr>
              <m:t>1</m:t>
            </m:r>
            <m:ctrlPr>
              <w:rPr>
                <w:rFonts w:ascii="Cambria Math" w:hAnsi="Cambria Math"/>
              </w:rPr>
            </m:ctrlPr>
          </m:num>
          <m:den>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m</m:t>
                </m:r>
                <m:ctrlPr>
                  <w:rPr>
                    <w:rFonts w:ascii="Cambria Math" w:hAnsi="Cambria Math"/>
                  </w:rPr>
                </m:ctrlPr>
              </m:sub>
            </m:sSub>
            <m:ctrlPr>
              <w:rPr>
                <w:rFonts w:ascii="Cambria Math" w:hAnsi="Cambria Math"/>
              </w:rPr>
            </m:ctrlPr>
          </m:den>
        </m:f>
      </m:oMath>
      <w:r>
        <w:rPr>
          <w:rFonts w:hint="eastAsia"/>
        </w:rPr>
        <w:t>+</w:t>
      </w:r>
      <m:oMath>
        <m:f>
          <m:fPr>
            <m:ctrlPr>
              <w:rPr>
                <w:rFonts w:ascii="Cambria Math" w:hAnsi="Cambria Math"/>
              </w:rPr>
            </m:ctrlPr>
          </m:fPr>
          <m:num>
            <m:r>
              <w:rPr>
                <w:rFonts w:ascii="Cambria Math" w:hAnsi="Cambria Math"/>
              </w:rPr>
              <m:t>1</m:t>
            </m:r>
            <m:ctrlPr>
              <w:rPr>
                <w:rFonts w:ascii="Cambria Math" w:hAnsi="Cambria Math"/>
              </w:rPr>
            </m:ctrlPr>
          </m:num>
          <m:den>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n</m:t>
                </m:r>
                <m:ctrlPr>
                  <w:rPr>
                    <w:rFonts w:ascii="Cambria Math" w:hAnsi="Cambria Math"/>
                  </w:rPr>
                </m:ctrlPr>
              </m:sub>
            </m:sSub>
            <m:ctrlPr>
              <w:rPr>
                <w:rFonts w:ascii="Cambria Math" w:hAnsi="Cambria Math"/>
              </w:rPr>
            </m:ctrlPr>
          </m:den>
        </m:f>
      </m:oMath>
      <w:r>
        <w:rPr>
          <w:rFonts w:hint="eastAsia"/>
        </w:rPr>
        <w:t xml:space="preserve">                                                     （5.3.6-5）</w:t>
      </w:r>
    </w:p>
    <w:p>
      <w:pPr>
        <w:widowControl/>
        <w:ind w:firstLine="420"/>
      </w:pPr>
      <w:r>
        <w:t>其中</w:t>
      </w: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e</m:t>
            </m:r>
            <m:ctrlPr>
              <w:rPr>
                <w:rFonts w:ascii="Cambria Math" w:hAnsi="Cambria Math"/>
              </w:rPr>
            </m:ctrlPr>
          </m:sub>
        </m:sSub>
      </m:oMath>
      <w:r>
        <w:rPr>
          <w:rFonts w:hint="eastAsia"/>
        </w:rPr>
        <w:t>=</w:t>
      </w:r>
      <m:oMath>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den>
        </m:f>
        <m:r>
          <w:rPr>
            <w:rFonts w:ascii="Cambria Math" w:hAnsi="Cambria Math"/>
          </w:rPr>
          <m:t xml:space="preserve"> </m:t>
        </m:r>
      </m:oMath>
      <w:r>
        <w:rPr>
          <w:rFonts w:hint="eastAsia"/>
        </w:rPr>
        <w:t xml:space="preserve">, </w:t>
      </w: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m</m:t>
            </m:r>
            <m:ctrlPr>
              <w:rPr>
                <w:rFonts w:ascii="Cambria Math" w:hAnsi="Cambria Math"/>
              </w:rPr>
            </m:ctrlPr>
          </m:sub>
        </m:sSub>
      </m:oMath>
      <w:r>
        <w:rPr>
          <w:rFonts w:hint="eastAsia"/>
        </w:rPr>
        <w:t>=</w:t>
      </w:r>
      <m:oMath>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m</m:t>
                </m:r>
                <m:ctrlPr>
                  <w:rPr>
                    <w:rFonts w:ascii="Cambria Math" w:hAnsi="Cambria Math"/>
                  </w:rPr>
                </m:ctrlPr>
              </m:sub>
            </m:sSub>
            <m:ctrlPr>
              <w:rPr>
                <w:rFonts w:ascii="Cambria Math" w:hAnsi="Cambria Math"/>
              </w:rPr>
            </m:ctrlPr>
          </m:num>
          <m:den>
            <m:r>
              <w:rPr>
                <w:rFonts w:ascii="Cambria Math" w:hAnsi="Cambria Math"/>
              </w:rPr>
              <m:t>2</m:t>
            </m:r>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m</m:t>
                </m:r>
                <m:ctrlPr>
                  <w:rPr>
                    <w:rFonts w:ascii="Cambria Math" w:hAnsi="Cambria Math"/>
                  </w:rPr>
                </m:ctrlPr>
              </m:sub>
            </m:sSub>
            <m:ctrlPr>
              <w:rPr>
                <w:rFonts w:ascii="Cambria Math" w:hAnsi="Cambria Math"/>
              </w:rPr>
            </m:ctrlPr>
          </m:den>
        </m:f>
      </m:oMath>
      <w:r>
        <w:rPr>
          <w:rFonts w:hint="eastAsia"/>
        </w:rPr>
        <w:t xml:space="preserve"> , </w:t>
      </w:r>
      <m:oMath>
        <m:sSub>
          <m:sSubPr>
            <m:ctrlPr>
              <w:rPr>
                <w:rFonts w:ascii="Cambria Math" w:hAnsi="Cambria Math"/>
              </w:rPr>
            </m:ctrlPr>
          </m:sSubPr>
          <m:e>
            <m:r>
              <w:rPr>
                <w:rFonts w:ascii="Cambria Math" w:hAnsi="Cambria Math"/>
              </w:rPr>
              <m:t>K</m:t>
            </m:r>
            <m:ctrlPr>
              <w:rPr>
                <w:rFonts w:ascii="Cambria Math" w:hAnsi="Cambria Math"/>
              </w:rPr>
            </m:ctrlPr>
          </m:e>
          <m:sub>
            <m:r>
              <w:rPr>
                <w:rFonts w:ascii="Cambria Math" w:hAnsi="Cambria Math"/>
              </w:rPr>
              <m:t>n</m:t>
            </m:r>
            <m:ctrlPr>
              <w:rPr>
                <w:rFonts w:ascii="Cambria Math" w:hAnsi="Cambria Math"/>
              </w:rPr>
            </m:ctrlPr>
          </m:sub>
        </m:sSub>
      </m:oMath>
      <w:r>
        <w:rPr>
          <w:rFonts w:hint="eastAsia"/>
        </w:rPr>
        <w:t>=</w:t>
      </w:r>
      <m:oMath>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n</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n</m:t>
                </m:r>
                <m:ctrlPr>
                  <w:rPr>
                    <w:rFonts w:ascii="Cambria Math" w:hAnsi="Cambria Math"/>
                  </w:rPr>
                </m:ctrlPr>
              </m:sub>
            </m:sSub>
            <m:ctrlPr>
              <w:rPr>
                <w:rFonts w:ascii="Cambria Math" w:hAnsi="Cambria Math"/>
              </w:rPr>
            </m:ctrlPr>
          </m:den>
        </m:f>
      </m:oMath>
    </w:p>
    <w:p>
      <w:pPr>
        <w:widowControl/>
        <w:ind w:firstLine="420"/>
      </w:pPr>
      <w:r>
        <w:t xml:space="preserve"> </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m</m:t>
            </m:r>
            <m:ctrlPr>
              <w:rPr>
                <w:rFonts w:ascii="Cambria Math" w:hAnsi="Cambria Math"/>
              </w:rPr>
            </m:ctrlPr>
          </m:sub>
        </m:sSub>
      </m:oMath>
      <w:r>
        <w:t>、</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m</m:t>
            </m:r>
            <m:ctrlPr>
              <w:rPr>
                <w:rFonts w:ascii="Cambria Math" w:hAnsi="Cambria Math"/>
              </w:rPr>
            </m:ctrlPr>
          </m:sub>
        </m:sSub>
      </m:oMath>
      <w:r>
        <w:t>、</w:t>
      </w:r>
      <m:oMath>
        <m:sSub>
          <m:sSubPr>
            <m:ctrlPr>
              <w:rPr>
                <w:rFonts w:ascii="Cambria Math" w:hAnsi="Cambria Math"/>
              </w:rPr>
            </m:ctrlPr>
          </m:sSubPr>
          <m:e>
            <m:r>
              <m:rPr>
                <m:sty m:val="p"/>
              </m:rPr>
              <w:rPr>
                <w:rFonts w:ascii="Cambria Math" w:hAnsi="Cambria Math"/>
              </w:rPr>
              <m:t>2L</m:t>
            </m:r>
            <m:ctrlPr>
              <w:rPr>
                <w:rFonts w:ascii="Cambria Math" w:hAnsi="Cambria Math"/>
              </w:rPr>
            </m:ctrlPr>
          </m:e>
          <m:sub>
            <m:r>
              <m:rPr>
                <m:sty m:val="p"/>
              </m:rPr>
              <w:rPr>
                <w:rFonts w:ascii="Cambria Math" w:hAnsi="Cambria Math"/>
              </w:rPr>
              <m:t>m</m:t>
            </m:r>
            <m:ctrlPr>
              <w:rPr>
                <w:rFonts w:ascii="Cambria Math" w:hAnsi="Cambria Math"/>
              </w:rPr>
            </m:ctrlPr>
          </m:sub>
        </m:sSub>
      </m:oMath>
      <w:r>
        <w:t>为非耗能段等效面积、刚度、长度；</w:t>
      </w:r>
      <m:oMath>
        <m:sSub>
          <m:sSubPr>
            <m:ctrlPr>
              <w:rPr>
                <w:rFonts w:ascii="Cambria Math" w:hAnsi="Cambria Math"/>
              </w:rPr>
            </m:ctrlPr>
          </m:sSubPr>
          <m:e>
            <m:r>
              <m:rPr>
                <m:sty m:val="p"/>
              </m:rPr>
              <w:rPr>
                <w:rFonts w:ascii="Cambria Math" w:hAnsi="Cambria Math"/>
              </w:rPr>
              <m:t>K</m:t>
            </m:r>
            <m:ctrlPr>
              <w:rPr>
                <w:rFonts w:ascii="Cambria Math" w:hAnsi="Cambria Math"/>
              </w:rPr>
            </m:ctrlPr>
          </m:e>
          <m:sub>
            <m:r>
              <m:rPr>
                <m:sty m:val="p"/>
              </m:rPr>
              <w:rPr>
                <w:rFonts w:ascii="Cambria Math" w:hAnsi="Cambria Math"/>
              </w:rPr>
              <m:t>n</m:t>
            </m:r>
            <m:ctrlPr>
              <w:rPr>
                <w:rFonts w:ascii="Cambria Math" w:hAnsi="Cambria Math"/>
              </w:rPr>
            </m:ctrlPr>
          </m:sub>
        </m:sSub>
      </m:oMath>
      <w:r>
        <w:rPr>
          <w:rFonts w:ascii="Cambria Math" w:hAnsi="Cambria Math"/>
        </w:rPr>
        <w:t>、</w:t>
      </w: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m:sty m:val="p"/>
              </m:rPr>
              <w:rPr>
                <w:rFonts w:ascii="Cambria Math" w:hAnsi="Cambria Math"/>
              </w:rPr>
              <m:t>n</m:t>
            </m:r>
            <m:ctrlPr>
              <w:rPr>
                <w:rFonts w:ascii="Cambria Math" w:hAnsi="Cambria Math"/>
              </w:rPr>
            </m:ctrlPr>
          </m:sub>
        </m:sSub>
      </m:oMath>
      <w:r>
        <w:rPr>
          <w:rFonts w:ascii="Cambria Math" w:hAnsi="Cambria Math"/>
        </w:rPr>
        <w:t>、</w:t>
      </w:r>
      <m:oMath>
        <m:sSub>
          <m:sSubPr>
            <m:ctrlPr>
              <w:rPr>
                <w:rFonts w:ascii="Cambria Math" w:hAnsi="Cambria Math"/>
              </w:rPr>
            </m:ctrlPr>
          </m:sSubPr>
          <m:e>
            <m:r>
              <m:rPr>
                <m:sty m:val="p"/>
              </m:rPr>
              <w:rPr>
                <w:rFonts w:ascii="Cambria Math" w:hAnsi="Cambria Math"/>
              </w:rPr>
              <m:t>L</m:t>
            </m:r>
            <m:ctrlPr>
              <w:rPr>
                <w:rFonts w:ascii="Cambria Math" w:hAnsi="Cambria Math"/>
              </w:rPr>
            </m:ctrlPr>
          </m:e>
          <m:sub>
            <m:r>
              <m:rPr>
                <m:sty m:val="p"/>
              </m:rPr>
              <w:rPr>
                <w:rFonts w:ascii="Cambria Math" w:hAnsi="Cambria Math"/>
              </w:rPr>
              <m:t>n</m:t>
            </m:r>
            <m:ctrlPr>
              <w:rPr>
                <w:rFonts w:ascii="Cambria Math" w:hAnsi="Cambria Math"/>
              </w:rPr>
            </m:ctrlPr>
          </m:sub>
        </m:sSub>
      </m:oMath>
      <w:r>
        <w:t>为耗能段等效面积、刚度、长度；</w:t>
      </w:r>
    </w:p>
    <w:p>
      <w:pPr>
        <w:ind w:firstLine="420"/>
      </w:pPr>
      <w:r>
        <w:t>代入式（</w:t>
      </w:r>
      <w:r>
        <w:rPr>
          <w:rFonts w:hint="eastAsia"/>
        </w:rPr>
        <w:t>5.3.6-5</w:t>
      </w:r>
      <w:r>
        <w:t>）可得到</w:t>
      </w:r>
      <m:oMath>
        <m:f>
          <m:fPr>
            <m:ctrlPr>
              <w:rPr>
                <w:rFonts w:ascii="Cambria Math" w:hAnsi="Cambria Math"/>
              </w:rPr>
            </m:ctrlPr>
          </m:fPr>
          <m:num>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e</m:t>
                </m:r>
                <m:ctrlPr>
                  <w:rPr>
                    <w:rFonts w:ascii="Cambria Math" w:hAnsi="Cambria Math"/>
                  </w:rPr>
                </m:ctrlPr>
              </m:sub>
            </m:sSub>
            <m:ctrlPr>
              <w:rPr>
                <w:rFonts w:ascii="Cambria Math" w:hAnsi="Cambria Math"/>
              </w:rPr>
            </m:ctrlPr>
          </m:den>
        </m:f>
      </m:oMath>
      <w:r>
        <w:rPr>
          <w:rFonts w:hint="eastAsia"/>
        </w:rPr>
        <w:t>=</w:t>
      </w:r>
      <m:oMath>
        <m:f>
          <m:fPr>
            <m:ctrlPr>
              <w:rPr>
                <w:rFonts w:ascii="Cambria Math" w:hAnsi="Cambria Math"/>
              </w:rPr>
            </m:ctrlPr>
          </m:fPr>
          <m:num>
            <m:sSub>
              <m:sSubPr>
                <m:ctrlPr>
                  <w:rPr>
                    <w:rFonts w:ascii="Cambria Math" w:hAnsi="Cambria Math"/>
                  </w:rPr>
                </m:ctrlPr>
              </m:sSubPr>
              <m:e>
                <m:r>
                  <w:rPr>
                    <w:rFonts w:ascii="Cambria Math" w:hAnsi="Cambria Math"/>
                  </w:rPr>
                  <m:t>2L</m:t>
                </m:r>
                <m:ctrlPr>
                  <w:rPr>
                    <w:rFonts w:ascii="Cambria Math" w:hAnsi="Cambria Math"/>
                  </w:rPr>
                </m:ctrlPr>
              </m:e>
              <m:sub>
                <m:r>
                  <w:rPr>
                    <w:rFonts w:ascii="Cambria Math" w:hAnsi="Cambria Math"/>
                  </w:rPr>
                  <m:t>m</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m</m:t>
                </m:r>
                <m:ctrlPr>
                  <w:rPr>
                    <w:rFonts w:ascii="Cambria Math" w:hAnsi="Cambria Math"/>
                  </w:rPr>
                </m:ctrlPr>
              </m:sub>
            </m:sSub>
            <m:ctrlPr>
              <w:rPr>
                <w:rFonts w:ascii="Cambria Math" w:hAnsi="Cambria Math"/>
              </w:rPr>
            </m:ctrlPr>
          </m:den>
        </m:f>
      </m:oMath>
      <w:r>
        <w:rPr>
          <w:rFonts w:hint="eastAsia"/>
        </w:rPr>
        <w:t>+</w:t>
      </w:r>
      <m:oMath>
        <m:f>
          <m:fPr>
            <m:ctrlPr>
              <w:rPr>
                <w:rFonts w:ascii="Cambria Math" w:hAnsi="Cambria Math"/>
              </w:rPr>
            </m:ctrlPr>
          </m:fPr>
          <m:num>
            <m:sSub>
              <m:sSubPr>
                <m:ctrlPr>
                  <w:rPr>
                    <w:rFonts w:ascii="Cambria Math" w:hAnsi="Cambria Math"/>
                  </w:rPr>
                </m:ctrlPr>
              </m:sSubPr>
              <m:e>
                <m:r>
                  <w:rPr>
                    <w:rFonts w:ascii="Cambria Math" w:hAnsi="Cambria Math"/>
                  </w:rPr>
                  <m:t>L</m:t>
                </m:r>
                <m:ctrlPr>
                  <w:rPr>
                    <w:rFonts w:ascii="Cambria Math" w:hAnsi="Cambria Math"/>
                  </w:rPr>
                </m:ctrlPr>
              </m:e>
              <m:sub>
                <m:r>
                  <w:rPr>
                    <w:rFonts w:ascii="Cambria Math" w:hAnsi="Cambria Math"/>
                  </w:rPr>
                  <m:t>n</m:t>
                </m:r>
                <m:ctrlPr>
                  <w:rPr>
                    <w:rFonts w:ascii="Cambria Math" w:hAnsi="Cambria Math"/>
                  </w:rPr>
                </m:ctrlPr>
              </m:sub>
            </m:sSub>
            <m:ctrlPr>
              <w:rPr>
                <w:rFonts w:ascii="Cambria Math" w:hAnsi="Cambria Math"/>
              </w:rPr>
            </m:ctrlPr>
          </m:num>
          <m:den>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n</m:t>
                </m:r>
                <m:ctrlPr>
                  <w:rPr>
                    <w:rFonts w:ascii="Cambria Math" w:hAnsi="Cambria Math"/>
                  </w:rPr>
                </m:ctrlPr>
              </m:sub>
            </m:sSub>
            <m:ctrlPr>
              <w:rPr>
                <w:rFonts w:ascii="Cambria Math" w:hAnsi="Cambria Math"/>
              </w:rPr>
            </m:ctrlPr>
          </m:den>
        </m:f>
      </m:oMath>
      <w:r>
        <w:rPr>
          <w:rFonts w:hint="eastAsia"/>
        </w:rPr>
        <w:t xml:space="preserve">                                        （5.3.6-6）</w:t>
      </w:r>
    </w:p>
    <w:p>
      <w:pPr>
        <w:ind w:firstLine="420"/>
      </w:pPr>
      <w:r>
        <w:t>由式（</w:t>
      </w:r>
      <w:r>
        <w:rPr>
          <w:rFonts w:hint="eastAsia"/>
        </w:rPr>
        <w:t>5.3.6-6</w:t>
      </w:r>
      <w:r>
        <w:t>）则可得出芯板面积。</w:t>
      </w:r>
    </w:p>
    <w:p>
      <w:pPr>
        <w:ind w:firstLine="420"/>
      </w:pPr>
      <w:r>
        <w:rPr>
          <w:rFonts w:hint="eastAsia"/>
        </w:rPr>
        <w:t>3）</w:t>
      </w:r>
      <w:r>
        <w:t>根据芯板面积确定支撑承载力</w:t>
      </w:r>
    </w:p>
    <w:p>
      <w:pPr>
        <w:ind w:firstLine="420"/>
      </w:pPr>
      <w:r>
        <w:t>由芯板面积可以简单计算得到支撑屈服承载力，</w:t>
      </w:r>
    </w:p>
    <w:p>
      <w:pPr>
        <w:ind w:firstLine="420"/>
      </w:pPr>
      <m:oMath>
        <m:sSub>
          <m:sSubPr>
            <m:ctrlPr>
              <w:rPr>
                <w:rFonts w:ascii="Cambria Math" w:hAnsi="Cambria Math"/>
              </w:rPr>
            </m:ctrlPr>
          </m:sSubPr>
          <m:e>
            <m:r>
              <w:rPr>
                <w:rFonts w:ascii="Cambria Math" w:hAnsi="Cambria Math"/>
              </w:rPr>
              <m:t>N</m:t>
            </m:r>
            <m:ctrlPr>
              <w:rPr>
                <w:rFonts w:ascii="Cambria Math" w:hAnsi="Cambria Math"/>
              </w:rPr>
            </m:ctrlPr>
          </m:e>
          <m:sub>
            <m:r>
              <w:rPr>
                <w:rFonts w:ascii="Cambria Math" w:hAnsi="Cambria Math"/>
              </w:rPr>
              <m:t>by</m:t>
            </m:r>
            <m:ctrlPr>
              <w:rPr>
                <w:rFonts w:ascii="Cambria Math" w:hAnsi="Cambria Math"/>
              </w:rPr>
            </m:ctrlPr>
          </m:sub>
        </m:sSub>
      </m:oMath>
      <w:r>
        <w:rPr>
          <w:rFonts w:hint="eastAsia"/>
        </w:rPr>
        <w:t>=</w:t>
      </w: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yK</m:t>
            </m:r>
            <m:ctrlPr>
              <w:rPr>
                <w:rFonts w:ascii="Cambria Math" w:hAnsi="Cambria Math"/>
              </w:rPr>
            </m:ctrlPr>
          </m:sub>
        </m:sSub>
        <m:sSub>
          <m:sSubPr>
            <m:ctrlPr>
              <w:rPr>
                <w:rFonts w:ascii="Cambria Math" w:hAnsi="Cambria Math"/>
              </w:rPr>
            </m:ctrlPr>
          </m:sSubPr>
          <m:e>
            <m:r>
              <w:rPr>
                <w:rFonts w:ascii="Cambria Math" w:hAnsi="Cambria Math"/>
              </w:rPr>
              <m:t>A</m:t>
            </m:r>
            <m:ctrlPr>
              <w:rPr>
                <w:rFonts w:ascii="Cambria Math" w:hAnsi="Cambria Math"/>
              </w:rPr>
            </m:ctrlPr>
          </m:e>
          <m:sub>
            <m:r>
              <w:rPr>
                <w:rFonts w:ascii="Cambria Math" w:hAnsi="Cambria Math"/>
              </w:rPr>
              <m:t>n</m:t>
            </m:r>
            <m:ctrlPr>
              <w:rPr>
                <w:rFonts w:ascii="Cambria Math" w:hAnsi="Cambria Math"/>
              </w:rPr>
            </m:ctrlPr>
          </m:sub>
        </m:sSub>
      </m:oMath>
      <w:r>
        <w:rPr>
          <w:rFonts w:hint="eastAsia"/>
        </w:rPr>
        <w:t xml:space="preserve">                                                       （5.3.6-7）</w:t>
      </w:r>
    </w:p>
    <w:p>
      <w:pPr>
        <w:ind w:firstLine="420"/>
      </w:pPr>
      <m:oMath>
        <m:sSub>
          <m:sSubPr>
            <m:ctrlPr>
              <w:rPr>
                <w:rFonts w:ascii="Cambria Math" w:hAnsi="Cambria Math"/>
              </w:rPr>
            </m:ctrlPr>
          </m:sSubPr>
          <m:e>
            <m:r>
              <w:rPr>
                <w:rFonts w:ascii="Cambria Math" w:hAnsi="Cambria Math"/>
              </w:rPr>
              <m:t>f</m:t>
            </m:r>
            <m:ctrlPr>
              <w:rPr>
                <w:rFonts w:ascii="Cambria Math" w:hAnsi="Cambria Math"/>
              </w:rPr>
            </m:ctrlPr>
          </m:e>
          <m:sub>
            <m:r>
              <w:rPr>
                <w:rFonts w:ascii="Cambria Math" w:hAnsi="Cambria Math"/>
              </w:rPr>
              <m:t>yK</m:t>
            </m:r>
            <m:ctrlPr>
              <w:rPr>
                <w:rFonts w:ascii="Cambria Math" w:hAnsi="Cambria Math"/>
              </w:rPr>
            </m:ctrlPr>
          </m:sub>
        </m:sSub>
      </m:oMath>
      <w:r>
        <w:t>为钢材屈服强度标准值</w:t>
      </w:r>
      <w:r>
        <w:rPr>
          <w:rFonts w:hint="eastAsia"/>
        </w:rPr>
        <w:t>（宜</w:t>
      </w:r>
      <w:r>
        <w:t>按实测值确定</w:t>
      </w:r>
      <w:r>
        <w:rPr>
          <w:rFonts w:hint="eastAsia"/>
        </w:rPr>
        <w:t>）。</w:t>
      </w:r>
    </w:p>
    <w:p>
      <w:pPr>
        <w:pStyle w:val="4"/>
        <w:rPr>
          <w:color w:val="auto"/>
        </w:rPr>
      </w:pPr>
      <w:r>
        <w:rPr>
          <w:rFonts w:hint="eastAsia"/>
          <w:color w:val="auto"/>
        </w:rPr>
        <w:t>减震结构的弹性时程分析</w:t>
      </w:r>
    </w:p>
    <w:p>
      <w:pPr>
        <w:ind w:firstLine="0" w:firstLineChars="0"/>
      </w:pPr>
      <w:r>
        <w:rPr>
          <w:rFonts w:hint="eastAsia"/>
        </w:rPr>
        <w:t xml:space="preserve">    与</w:t>
      </w:r>
      <w:r>
        <w:fldChar w:fldCharType="begin"/>
      </w:r>
      <w:r>
        <w:instrText xml:space="preserve"> REF _Ref507062761 \n \h  \* MERGEFORMAT </w:instrText>
      </w:r>
      <w:r>
        <w:fldChar w:fldCharType="separate"/>
      </w:r>
      <w:r>
        <w:rPr>
          <w:rFonts w:hint="eastAsia"/>
        </w:rPr>
        <w:t>5</w:t>
      </w:r>
      <w:r>
        <w:t>.1.7</w:t>
      </w:r>
      <w:r>
        <w:fldChar w:fldCharType="end"/>
      </w:r>
      <w:r>
        <w:rPr>
          <w:rFonts w:hint="eastAsia"/>
        </w:rPr>
        <w:t>条相同。</w:t>
      </w:r>
    </w:p>
    <w:p>
      <w:pPr>
        <w:pStyle w:val="4"/>
        <w:rPr>
          <w:color w:val="auto"/>
        </w:rPr>
      </w:pPr>
      <w:r>
        <w:rPr>
          <w:rFonts w:hint="eastAsia"/>
          <w:color w:val="auto"/>
        </w:rPr>
        <w:t>地震波选取</w:t>
      </w:r>
    </w:p>
    <w:p>
      <w:pPr>
        <w:ind w:firstLine="420"/>
      </w:pPr>
      <w:r>
        <w:rPr>
          <w:rFonts w:hint="eastAsia"/>
        </w:rPr>
        <w:t>与</w:t>
      </w:r>
      <w:r>
        <w:fldChar w:fldCharType="begin"/>
      </w:r>
      <w:r>
        <w:instrText xml:space="preserve"> REF _Ref507062811 \n \h  \* MERGEFORMAT </w:instrText>
      </w:r>
      <w:r>
        <w:fldChar w:fldCharType="separate"/>
      </w:r>
      <w:r>
        <w:rPr>
          <w:rFonts w:hint="eastAsia"/>
        </w:rPr>
        <w:t>5</w:t>
      </w:r>
      <w:r>
        <w:t>.1.8</w:t>
      </w:r>
      <w:r>
        <w:fldChar w:fldCharType="end"/>
      </w:r>
      <w:r>
        <w:rPr>
          <w:rFonts w:hint="eastAsia"/>
        </w:rPr>
        <w:t>条相同。</w:t>
      </w:r>
    </w:p>
    <w:p>
      <w:pPr>
        <w:pStyle w:val="4"/>
        <w:rPr>
          <w:color w:val="auto"/>
        </w:rPr>
      </w:pPr>
      <w:r>
        <w:rPr>
          <w:rFonts w:hint="eastAsia"/>
          <w:color w:val="auto"/>
        </w:rPr>
        <w:t>弹性时程分析（</w:t>
      </w:r>
      <w:r>
        <w:rPr>
          <w:color w:val="auto"/>
        </w:rPr>
        <w:t>FNA</w:t>
      </w:r>
      <w:r>
        <w:rPr>
          <w:rFonts w:hint="eastAsia"/>
          <w:color w:val="auto"/>
        </w:rPr>
        <w:t>）</w:t>
      </w:r>
    </w:p>
    <w:p>
      <w:pPr>
        <w:ind w:firstLine="435" w:firstLineChars="0"/>
      </w:pPr>
      <w:r>
        <w:rPr>
          <w:rFonts w:hint="eastAsia"/>
        </w:rPr>
        <w:t>与</w:t>
      </w:r>
      <w:r>
        <w:fldChar w:fldCharType="begin"/>
      </w:r>
      <w:r>
        <w:instrText xml:space="preserve"> REF _Ref507062855 \n \h  \* MERGEFORMAT </w:instrText>
      </w:r>
      <w:r>
        <w:fldChar w:fldCharType="separate"/>
      </w:r>
      <w:r>
        <w:rPr>
          <w:rFonts w:hint="eastAsia"/>
        </w:rPr>
        <w:t>5</w:t>
      </w:r>
      <w:r>
        <w:t>.1.9</w:t>
      </w:r>
      <w:r>
        <w:fldChar w:fldCharType="end"/>
      </w:r>
      <w:r>
        <w:rPr>
          <w:rFonts w:hint="eastAsia"/>
        </w:rPr>
        <w:t>条相同。</w:t>
      </w:r>
    </w:p>
    <w:p>
      <w:pPr>
        <w:pStyle w:val="4"/>
        <w:rPr>
          <w:color w:val="auto"/>
        </w:rPr>
      </w:pPr>
      <w:r>
        <w:rPr>
          <w:rFonts w:hint="eastAsia"/>
          <w:color w:val="auto"/>
        </w:rPr>
        <w:t>减震结构弹塑性动力分析</w:t>
      </w:r>
    </w:p>
    <w:p>
      <w:pPr>
        <w:ind w:firstLine="420" w:firstLineChars="0"/>
      </w:pPr>
      <w:r>
        <w:rPr>
          <w:rFonts w:hint="eastAsia"/>
        </w:rPr>
        <w:t>与</w:t>
      </w:r>
      <w:r>
        <w:fldChar w:fldCharType="begin"/>
      </w:r>
      <w:r>
        <w:instrText xml:space="preserve"> REF _Ref507062943 \n \h  \* MERGEFORMAT </w:instrText>
      </w:r>
      <w:r>
        <w:fldChar w:fldCharType="separate"/>
      </w:r>
      <w:r>
        <w:rPr>
          <w:rFonts w:hint="eastAsia"/>
        </w:rPr>
        <w:t>5</w:t>
      </w:r>
      <w:r>
        <w:t>.1.11</w:t>
      </w:r>
      <w:r>
        <w:fldChar w:fldCharType="end"/>
      </w:r>
      <w:r>
        <w:rPr>
          <w:rFonts w:hint="eastAsia"/>
        </w:rPr>
        <w:t>条相同。</w:t>
      </w:r>
    </w:p>
    <w:p>
      <w:pPr>
        <w:pStyle w:val="4"/>
        <w:rPr>
          <w:color w:val="auto"/>
        </w:rPr>
      </w:pPr>
      <w:r>
        <w:rPr>
          <w:rFonts w:hint="eastAsia"/>
          <w:color w:val="auto"/>
        </w:rPr>
        <w:t>配筋包络设计</w:t>
      </w:r>
    </w:p>
    <w:p>
      <w:pPr>
        <w:ind w:firstLine="420"/>
      </w:pPr>
      <w:r>
        <w:rPr>
          <w:rFonts w:hint="eastAsia"/>
        </w:rPr>
        <w:t>与</w:t>
      </w:r>
      <w:r>
        <w:fldChar w:fldCharType="begin"/>
      </w:r>
      <w:r>
        <w:instrText xml:space="preserve"> REF _Ref507062993 \n \h  \* MERGEFORMAT </w:instrText>
      </w:r>
      <w:r>
        <w:fldChar w:fldCharType="separate"/>
      </w:r>
      <w:r>
        <w:rPr>
          <w:rFonts w:hint="eastAsia"/>
        </w:rPr>
        <w:t>5</w:t>
      </w:r>
      <w:r>
        <w:t>.1.12</w:t>
      </w:r>
      <w:r>
        <w:fldChar w:fldCharType="end"/>
      </w:r>
      <w:r>
        <w:rPr>
          <w:rFonts w:hint="eastAsia"/>
        </w:rPr>
        <w:t>条相同。</w:t>
      </w:r>
    </w:p>
    <w:p>
      <w:pPr>
        <w:pStyle w:val="4"/>
        <w:rPr>
          <w:color w:val="auto"/>
        </w:rPr>
      </w:pPr>
      <w:r>
        <w:rPr>
          <w:rFonts w:hint="eastAsia"/>
          <w:color w:val="auto"/>
        </w:rPr>
        <w:t>消能器周边构件设计及计算方法</w:t>
      </w:r>
    </w:p>
    <w:p>
      <w:pPr>
        <w:ind w:firstLine="420"/>
      </w:pPr>
      <w:r>
        <w:rPr>
          <w:rFonts w:hint="eastAsia"/>
        </w:rPr>
        <w:t>与</w:t>
      </w:r>
      <w:r>
        <w:fldChar w:fldCharType="begin"/>
      </w:r>
      <w:r>
        <w:instrText xml:space="preserve"> REF _Ref507062998 \n \h  \* MERGEFORMAT </w:instrText>
      </w:r>
      <w:r>
        <w:fldChar w:fldCharType="separate"/>
      </w:r>
      <w:r>
        <w:rPr>
          <w:rFonts w:hint="eastAsia"/>
        </w:rPr>
        <w:t>5</w:t>
      </w:r>
      <w:r>
        <w:t>.1.13</w:t>
      </w:r>
      <w:r>
        <w:fldChar w:fldCharType="end"/>
      </w:r>
      <w:r>
        <w:rPr>
          <w:rFonts w:hint="eastAsia"/>
        </w:rPr>
        <w:t>条相同。</w:t>
      </w:r>
    </w:p>
    <w:p>
      <w:pPr>
        <w:ind w:firstLine="420"/>
      </w:pPr>
    </w:p>
    <w:p>
      <w:pPr>
        <w:ind w:firstLine="420"/>
      </w:pPr>
    </w:p>
    <w:p>
      <w:pPr>
        <w:pStyle w:val="2"/>
      </w:pPr>
      <w:r>
        <w:rPr>
          <w:rFonts w:hint="eastAsia"/>
        </w:rPr>
        <w:t>本导则用词说明</w:t>
      </w:r>
      <w:bookmarkEnd w:id="23"/>
    </w:p>
    <w:p>
      <w:pPr>
        <w:spacing w:line="360" w:lineRule="auto"/>
        <w:ind w:firstLine="480"/>
        <w:jc w:val="center"/>
        <w:rPr>
          <w:rFonts w:ascii="黑体" w:eastAsia="黑体" w:cs="黑体"/>
          <w:sz w:val="24"/>
        </w:rPr>
      </w:pPr>
    </w:p>
    <w:p>
      <w:pPr>
        <w:spacing w:line="360" w:lineRule="auto"/>
        <w:ind w:firstLine="420"/>
        <w:rPr>
          <w:rFonts w:eastAsia="黑体"/>
        </w:rPr>
      </w:pPr>
      <w:r>
        <w:rPr>
          <w:rFonts w:eastAsia="黑体"/>
          <w:bCs/>
        </w:rPr>
        <w:t>1</w:t>
      </w:r>
      <w:r>
        <w:rPr>
          <w:rFonts w:eastAsia="黑体"/>
        </w:rPr>
        <w:t xml:space="preserve"> </w:t>
      </w:r>
      <w:r>
        <w:rPr>
          <w:rFonts w:hint="eastAsia" w:hAnsi="宋体"/>
        </w:rPr>
        <w:t>为便于在执行本导则时区别对待，对要求严格程度不同的用词说明如下：</w:t>
      </w:r>
    </w:p>
    <w:p>
      <w:pPr>
        <w:spacing w:line="360" w:lineRule="auto"/>
        <w:ind w:firstLine="420"/>
        <w:rPr>
          <w:bCs/>
        </w:rPr>
      </w:pPr>
      <w:r>
        <w:rPr>
          <w:rFonts w:hint="eastAsia" w:eastAsia="黑体"/>
          <w:bCs/>
        </w:rPr>
        <w:t>（</w:t>
      </w:r>
      <w:r>
        <w:rPr>
          <w:rFonts w:eastAsia="黑体"/>
          <w:bCs/>
        </w:rPr>
        <w:t>1</w:t>
      </w:r>
      <w:r>
        <w:rPr>
          <w:rFonts w:hint="eastAsia" w:eastAsia="黑体"/>
          <w:bCs/>
        </w:rPr>
        <w:t>）</w:t>
      </w:r>
      <w:r>
        <w:rPr>
          <w:rFonts w:hint="eastAsia" w:hAnsi="宋体"/>
          <w:bCs/>
        </w:rPr>
        <w:t>表示很严格，非这样做不可的用词：</w:t>
      </w:r>
    </w:p>
    <w:p>
      <w:pPr>
        <w:ind w:firstLine="898" w:firstLineChars="428"/>
        <w:rPr>
          <w:bCs/>
        </w:rPr>
      </w:pPr>
      <w:r>
        <w:rPr>
          <w:rFonts w:hint="eastAsia"/>
          <w:bCs/>
        </w:rPr>
        <w:t>正面词采用“必须”；</w:t>
      </w:r>
    </w:p>
    <w:p>
      <w:pPr>
        <w:ind w:firstLine="898" w:firstLineChars="428"/>
        <w:rPr>
          <w:bCs/>
        </w:rPr>
      </w:pPr>
      <w:r>
        <w:rPr>
          <w:rFonts w:hint="eastAsia"/>
          <w:bCs/>
        </w:rPr>
        <w:t>反面词采用“严禁”。</w:t>
      </w:r>
    </w:p>
    <w:p>
      <w:pPr>
        <w:spacing w:line="360" w:lineRule="auto"/>
        <w:ind w:firstLine="420"/>
        <w:rPr>
          <w:bCs/>
        </w:rPr>
      </w:pPr>
      <w:r>
        <w:rPr>
          <w:rFonts w:hint="eastAsia" w:eastAsia="黑体"/>
          <w:bCs/>
        </w:rPr>
        <w:t>（</w:t>
      </w:r>
      <w:r>
        <w:rPr>
          <w:rFonts w:eastAsia="黑体"/>
          <w:bCs/>
        </w:rPr>
        <w:t>2</w:t>
      </w:r>
      <w:r>
        <w:rPr>
          <w:rFonts w:hint="eastAsia" w:eastAsia="黑体"/>
          <w:bCs/>
        </w:rPr>
        <w:t>）</w:t>
      </w:r>
      <w:r>
        <w:rPr>
          <w:rFonts w:hint="eastAsia" w:hAnsi="宋体"/>
          <w:bCs/>
        </w:rPr>
        <w:t>表示严格，正常情况下均应这样做的用词：</w:t>
      </w:r>
    </w:p>
    <w:p>
      <w:pPr>
        <w:ind w:firstLine="898" w:firstLineChars="428"/>
        <w:rPr>
          <w:bCs/>
        </w:rPr>
      </w:pPr>
      <w:r>
        <w:rPr>
          <w:rFonts w:hint="eastAsia"/>
          <w:bCs/>
        </w:rPr>
        <w:t>正面词采用“应”；</w:t>
      </w:r>
    </w:p>
    <w:p>
      <w:pPr>
        <w:ind w:firstLine="898" w:firstLineChars="428"/>
        <w:rPr>
          <w:bCs/>
        </w:rPr>
      </w:pPr>
      <w:r>
        <w:rPr>
          <w:rFonts w:hint="eastAsia"/>
          <w:bCs/>
        </w:rPr>
        <w:t>反面词采用“不应”或“不得”。</w:t>
      </w:r>
    </w:p>
    <w:p>
      <w:pPr>
        <w:spacing w:line="360" w:lineRule="auto"/>
        <w:ind w:firstLine="420"/>
        <w:rPr>
          <w:bCs/>
        </w:rPr>
      </w:pPr>
      <w:r>
        <w:rPr>
          <w:rFonts w:hint="eastAsia" w:eastAsia="黑体"/>
          <w:bCs/>
        </w:rPr>
        <w:t>（</w:t>
      </w:r>
      <w:r>
        <w:rPr>
          <w:rFonts w:eastAsia="黑体"/>
          <w:bCs/>
        </w:rPr>
        <w:t>3</w:t>
      </w:r>
      <w:r>
        <w:rPr>
          <w:rFonts w:hint="eastAsia" w:eastAsia="黑体"/>
          <w:bCs/>
        </w:rPr>
        <w:t>）</w:t>
      </w:r>
      <w:r>
        <w:rPr>
          <w:rFonts w:hint="eastAsia" w:hAnsi="宋体"/>
          <w:bCs/>
        </w:rPr>
        <w:t>表示允许有选择，在条件许可时首先应这样做的用词：</w:t>
      </w:r>
    </w:p>
    <w:p>
      <w:pPr>
        <w:ind w:firstLine="898" w:firstLineChars="428"/>
        <w:rPr>
          <w:bCs/>
        </w:rPr>
      </w:pPr>
      <w:r>
        <w:rPr>
          <w:rFonts w:hint="eastAsia"/>
          <w:bCs/>
        </w:rPr>
        <w:t>正面词采用“宜”；</w:t>
      </w:r>
    </w:p>
    <w:p>
      <w:pPr>
        <w:ind w:firstLine="898" w:firstLineChars="428"/>
        <w:rPr>
          <w:bCs/>
        </w:rPr>
      </w:pPr>
      <w:r>
        <w:rPr>
          <w:rFonts w:hint="eastAsia"/>
          <w:bCs/>
        </w:rPr>
        <w:t>反面词采用“不宜”。</w:t>
      </w:r>
    </w:p>
    <w:p>
      <w:pPr>
        <w:spacing w:line="360" w:lineRule="auto"/>
        <w:ind w:firstLine="420"/>
        <w:rPr>
          <w:rFonts w:eastAsia="黑体"/>
          <w:bCs/>
        </w:rPr>
      </w:pPr>
      <w:r>
        <w:rPr>
          <w:rFonts w:hint="eastAsia" w:eastAsia="黑体"/>
          <w:bCs/>
        </w:rPr>
        <w:t>（</w:t>
      </w:r>
      <w:r>
        <w:rPr>
          <w:rFonts w:eastAsia="黑体"/>
          <w:bCs/>
        </w:rPr>
        <w:t>4</w:t>
      </w:r>
      <w:r>
        <w:rPr>
          <w:rFonts w:hint="eastAsia" w:eastAsia="黑体"/>
          <w:bCs/>
        </w:rPr>
        <w:t>）</w:t>
      </w:r>
      <w:r>
        <w:rPr>
          <w:rFonts w:hint="eastAsia" w:hAnsi="宋体"/>
          <w:bCs/>
        </w:rPr>
        <w:t>表示有选择，在一定条件下可以这样做的，采用</w:t>
      </w:r>
      <w:r>
        <w:rPr>
          <w:rFonts w:hint="eastAsia"/>
          <w:bCs/>
        </w:rPr>
        <w:t>“</w:t>
      </w:r>
      <w:r>
        <w:rPr>
          <w:rFonts w:hint="eastAsia" w:hAnsi="宋体"/>
          <w:bCs/>
        </w:rPr>
        <w:t>可</w:t>
      </w:r>
      <w:r>
        <w:rPr>
          <w:rFonts w:hint="eastAsia"/>
          <w:bCs/>
        </w:rPr>
        <w:t>”</w:t>
      </w:r>
      <w:r>
        <w:rPr>
          <w:rFonts w:hint="eastAsia" w:hAnsi="宋体"/>
          <w:bCs/>
        </w:rPr>
        <w:t>。</w:t>
      </w:r>
    </w:p>
    <w:p>
      <w:pPr>
        <w:spacing w:line="360" w:lineRule="auto"/>
        <w:ind w:firstLine="420"/>
        <w:rPr>
          <w:bCs/>
        </w:rPr>
      </w:pPr>
      <w:r>
        <w:rPr>
          <w:bCs/>
        </w:rPr>
        <w:t xml:space="preserve">2 </w:t>
      </w:r>
      <w:r>
        <w:rPr>
          <w:rFonts w:hint="eastAsia" w:hAnsi="宋体"/>
          <w:bCs/>
        </w:rPr>
        <w:t>导则中指明必须按其他有关标准、规范执行时，其一般写法为</w:t>
      </w:r>
      <w:r>
        <w:rPr>
          <w:rFonts w:hint="eastAsia"/>
          <w:bCs/>
        </w:rPr>
        <w:t>“</w:t>
      </w:r>
      <w:r>
        <w:rPr>
          <w:rFonts w:hint="eastAsia" w:hAnsi="宋体"/>
          <w:bCs/>
        </w:rPr>
        <w:t>应按</w:t>
      </w:r>
      <w:r>
        <w:rPr>
          <w:bCs/>
        </w:rPr>
        <w:t>……</w:t>
      </w:r>
      <w:r>
        <w:rPr>
          <w:rFonts w:hint="eastAsia" w:hAnsi="宋体"/>
          <w:bCs/>
        </w:rPr>
        <w:t>执行</w:t>
      </w:r>
      <w:r>
        <w:rPr>
          <w:rFonts w:hint="eastAsia"/>
          <w:bCs/>
        </w:rPr>
        <w:t>”</w:t>
      </w:r>
      <w:r>
        <w:rPr>
          <w:rFonts w:hint="eastAsia" w:hAnsi="宋体"/>
          <w:bCs/>
        </w:rPr>
        <w:t>或</w:t>
      </w:r>
      <w:r>
        <w:rPr>
          <w:rFonts w:hint="eastAsia"/>
          <w:bCs/>
        </w:rPr>
        <w:t>“</w:t>
      </w:r>
      <w:r>
        <w:rPr>
          <w:rFonts w:hint="eastAsia" w:hAnsi="宋体"/>
          <w:bCs/>
        </w:rPr>
        <w:t>应符合</w:t>
      </w:r>
      <w:r>
        <w:rPr>
          <w:bCs/>
        </w:rPr>
        <w:t>……</w:t>
      </w:r>
      <w:r>
        <w:rPr>
          <w:rFonts w:hint="eastAsia" w:hAnsi="宋体"/>
          <w:bCs/>
        </w:rPr>
        <w:t>的要求（或规定）</w:t>
      </w:r>
      <w:r>
        <w:rPr>
          <w:rFonts w:hint="eastAsia"/>
          <w:bCs/>
        </w:rPr>
        <w:t>”</w:t>
      </w:r>
      <w:r>
        <w:rPr>
          <w:rFonts w:hint="eastAsia" w:hAnsi="宋体"/>
          <w:bCs/>
        </w:rPr>
        <w:t>。</w:t>
      </w:r>
    </w:p>
    <w:p>
      <w:pPr>
        <w:pStyle w:val="2"/>
      </w:pPr>
      <w:bookmarkStart w:id="35" w:name="_Toc517273855"/>
      <w:r>
        <w:rPr>
          <w:rFonts w:hint="eastAsia"/>
        </w:rPr>
        <w:t>引用标准和规范名录</w:t>
      </w:r>
      <w:bookmarkEnd w:id="35"/>
    </w:p>
    <w:p>
      <w:pPr>
        <w:spacing w:line="360" w:lineRule="auto"/>
        <w:ind w:firstLine="480"/>
        <w:rPr>
          <w:rFonts w:ascii="宋体" w:cs="宋体"/>
          <w:sz w:val="24"/>
        </w:rPr>
      </w:pPr>
    </w:p>
    <w:p>
      <w:pPr>
        <w:pStyle w:val="44"/>
        <w:numPr>
          <w:ilvl w:val="1"/>
          <w:numId w:val="2"/>
        </w:numPr>
        <w:ind w:firstLineChars="0"/>
        <w:rPr>
          <w:rFonts w:ascii="Times New Roman" w:hAnsi="Times New Roman"/>
          <w:sz w:val="21"/>
          <w:szCs w:val="21"/>
          <w:lang w:eastAsia="zh-CN"/>
        </w:rPr>
      </w:pPr>
      <w:r>
        <w:rPr>
          <w:rFonts w:hint="eastAsia" w:ascii="Times New Roman" w:hAnsi="Times New Roman"/>
          <w:sz w:val="21"/>
          <w:szCs w:val="21"/>
          <w:lang w:eastAsia="zh-CN"/>
        </w:rPr>
        <w:t>《混凝土结构设计规范》GB50010-2010</w:t>
      </w:r>
    </w:p>
    <w:p>
      <w:pPr>
        <w:pStyle w:val="44"/>
        <w:numPr>
          <w:ilvl w:val="1"/>
          <w:numId w:val="2"/>
        </w:numPr>
        <w:ind w:firstLineChars="0"/>
        <w:rPr>
          <w:rFonts w:ascii="Times New Roman" w:hAnsi="Times New Roman"/>
          <w:sz w:val="21"/>
          <w:szCs w:val="21"/>
          <w:lang w:eastAsia="zh-CN"/>
        </w:rPr>
      </w:pPr>
      <w:r>
        <w:rPr>
          <w:rFonts w:hint="eastAsia" w:ascii="Times New Roman" w:hAnsi="Times New Roman"/>
          <w:sz w:val="21"/>
          <w:szCs w:val="21"/>
          <w:lang w:eastAsia="zh-CN"/>
        </w:rPr>
        <w:t>《建筑抗震设计规范》GB 50011-2010</w:t>
      </w:r>
    </w:p>
    <w:p>
      <w:pPr>
        <w:pStyle w:val="44"/>
        <w:numPr>
          <w:ilvl w:val="1"/>
          <w:numId w:val="2"/>
        </w:numPr>
        <w:ind w:firstLineChars="0"/>
        <w:rPr>
          <w:rFonts w:ascii="Times New Roman" w:hAnsi="Times New Roman"/>
          <w:sz w:val="21"/>
          <w:szCs w:val="21"/>
          <w:lang w:eastAsia="zh-CN"/>
        </w:rPr>
      </w:pPr>
      <w:r>
        <w:rPr>
          <w:rFonts w:hint="eastAsia" w:ascii="Times New Roman" w:hAnsi="Times New Roman"/>
          <w:sz w:val="21"/>
          <w:szCs w:val="21"/>
          <w:lang w:eastAsia="zh-CN"/>
        </w:rPr>
        <w:t>《建筑消能减震技术规程》JGJ 297-2013</w:t>
      </w:r>
    </w:p>
    <w:p>
      <w:pPr>
        <w:autoSpaceDE w:val="0"/>
        <w:autoSpaceDN w:val="0"/>
        <w:ind w:firstLine="0" w:firstLineChars="0"/>
        <w:jc w:val="left"/>
        <w:rPr>
          <w:rFonts w:ascii="宋体" w:cs="宋体"/>
          <w:b/>
          <w:bCs/>
          <w:sz w:val="22"/>
        </w:rPr>
      </w:pPr>
    </w:p>
    <w:sectPr>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PMingLiU">
    <w:panose1 w:val="02020500000000000000"/>
    <w:charset w:val="88"/>
    <w:family w:val="roman"/>
    <w:pitch w:val="default"/>
    <w:sig w:usb0="A00002FF" w:usb1="28CFFCFA" w:usb2="00000016" w:usb3="00000000" w:csb0="0010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ind w:firstLine="360"/>
      <w:rPr>
        <w:rStyle w:val="36"/>
      </w:rPr>
    </w:pPr>
    <w:r>
      <w:rPr>
        <w:rStyle w:val="36"/>
      </w:rPr>
      <w:fldChar w:fldCharType="begin"/>
    </w:r>
    <w:r>
      <w:rPr>
        <w:rStyle w:val="36"/>
      </w:rPr>
      <w:instrText xml:space="preserve">PAGE  </w:instrText>
    </w:r>
    <w:r>
      <w:rPr>
        <w:rStyle w:val="36"/>
      </w:rPr>
      <w:fldChar w:fldCharType="separate"/>
    </w:r>
    <w:r>
      <w:rPr>
        <w:rStyle w:val="36"/>
      </w:rPr>
      <w:t>III</w:t>
    </w:r>
    <w:r>
      <w:rPr>
        <w:rStyle w:val="36"/>
      </w:rPr>
      <w:fldChar w:fldCharType="end"/>
    </w:r>
  </w:p>
  <w:p>
    <w:pPr>
      <w:pStyle w:val="25"/>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right="360" w:firstLine="360"/>
      <w:jc w:val="center"/>
    </w:pPr>
    <w:r>
      <w:rPr>
        <w:rStyle w:val="36"/>
      </w:rPr>
      <w:fldChar w:fldCharType="begin"/>
    </w:r>
    <w:r>
      <w:rPr>
        <w:rStyle w:val="36"/>
      </w:rPr>
      <w:instrText xml:space="preserve"> PAGE </w:instrText>
    </w:r>
    <w:r>
      <w:rPr>
        <w:rStyle w:val="36"/>
      </w:rPr>
      <w:fldChar w:fldCharType="separate"/>
    </w:r>
    <w:r>
      <w:rPr>
        <w:rStyle w:val="36"/>
      </w:rPr>
      <w:t>15</w:t>
    </w:r>
    <w:r>
      <w:rPr>
        <w:rStyle w:val="3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E70688"/>
    <w:multiLevelType w:val="multilevel"/>
    <w:tmpl w:val="71E70688"/>
    <w:lvl w:ilvl="0" w:tentative="0">
      <w:start w:val="1"/>
      <w:numFmt w:val="decimal"/>
      <w:pStyle w:val="2"/>
      <w:lvlText w:val="%1"/>
      <w:lvlJc w:val="left"/>
      <w:pPr>
        <w:tabs>
          <w:tab w:val="left" w:pos="432"/>
        </w:tabs>
        <w:ind w:left="432" w:hanging="432"/>
      </w:pPr>
      <w:rPr>
        <w:rFonts w:hint="eastAsia" w:cs="Times New Roman"/>
      </w:rPr>
    </w:lvl>
    <w:lvl w:ilvl="1" w:tentative="0">
      <w:start w:val="1"/>
      <w:numFmt w:val="decimal"/>
      <w:pStyle w:val="3"/>
      <w:lvlText w:val="%1.%2"/>
      <w:lvlJc w:val="left"/>
      <w:pPr>
        <w:tabs>
          <w:tab w:val="left" w:pos="5538"/>
        </w:tabs>
        <w:ind w:left="5538" w:hanging="576"/>
      </w:pPr>
      <w:rPr>
        <w:rFonts w:hint="eastAsia" w:cs="Times New Roman"/>
      </w:rPr>
    </w:lvl>
    <w:lvl w:ilvl="2" w:tentative="0">
      <w:start w:val="1"/>
      <w:numFmt w:val="decimal"/>
      <w:pStyle w:val="4"/>
      <w:lvlText w:val="%1.%2.%3"/>
      <w:lvlJc w:val="left"/>
      <w:pPr>
        <w:tabs>
          <w:tab w:val="left" w:pos="1004"/>
        </w:tabs>
        <w:ind w:left="1004" w:hanging="7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3" w:tentative="0">
      <w:start w:val="1"/>
      <w:numFmt w:val="decimal"/>
      <w:pStyle w:val="5"/>
      <w:lvlText w:val="%1.%2.%3.%4"/>
      <w:lvlJc w:val="left"/>
      <w:pPr>
        <w:tabs>
          <w:tab w:val="left" w:pos="864"/>
        </w:tabs>
        <w:ind w:left="864" w:hanging="864"/>
      </w:pPr>
      <w:rPr>
        <w:rFonts w:hint="eastAsia" w:cs="Times New Roman"/>
      </w:rPr>
    </w:lvl>
    <w:lvl w:ilvl="4" w:tentative="0">
      <w:start w:val="1"/>
      <w:numFmt w:val="decimal"/>
      <w:pStyle w:val="6"/>
      <w:lvlText w:val="%1.%2.%3.%4.%5"/>
      <w:lvlJc w:val="left"/>
      <w:pPr>
        <w:tabs>
          <w:tab w:val="left" w:pos="1008"/>
        </w:tabs>
        <w:ind w:left="1008" w:hanging="1008"/>
      </w:pPr>
      <w:rPr>
        <w:rFonts w:hint="eastAsia" w:cs="Times New Roman"/>
      </w:rPr>
    </w:lvl>
    <w:lvl w:ilvl="5" w:tentative="0">
      <w:start w:val="1"/>
      <w:numFmt w:val="decimal"/>
      <w:pStyle w:val="7"/>
      <w:lvlText w:val="%1.%2.%3.%4.%5.%6"/>
      <w:lvlJc w:val="left"/>
      <w:pPr>
        <w:tabs>
          <w:tab w:val="left" w:pos="1152"/>
        </w:tabs>
        <w:ind w:left="1152" w:hanging="1152"/>
      </w:pPr>
      <w:rPr>
        <w:rFonts w:hint="eastAsia" w:cs="Times New Roman"/>
      </w:rPr>
    </w:lvl>
    <w:lvl w:ilvl="6" w:tentative="0">
      <w:start w:val="1"/>
      <w:numFmt w:val="decimal"/>
      <w:pStyle w:val="8"/>
      <w:lvlText w:val="%1.%2.%3.%4.%5.%6.%7"/>
      <w:lvlJc w:val="left"/>
      <w:pPr>
        <w:tabs>
          <w:tab w:val="left" w:pos="1296"/>
        </w:tabs>
        <w:ind w:left="1296" w:hanging="1296"/>
      </w:pPr>
      <w:rPr>
        <w:rFonts w:hint="eastAsia" w:cs="Times New Roman"/>
      </w:rPr>
    </w:lvl>
    <w:lvl w:ilvl="7" w:tentative="0">
      <w:start w:val="1"/>
      <w:numFmt w:val="decimal"/>
      <w:pStyle w:val="9"/>
      <w:lvlText w:val="%1.%2.%3.%4.%5.%6.%7.%8"/>
      <w:lvlJc w:val="left"/>
      <w:pPr>
        <w:tabs>
          <w:tab w:val="left" w:pos="1440"/>
        </w:tabs>
        <w:ind w:left="1440" w:hanging="1440"/>
      </w:pPr>
      <w:rPr>
        <w:rFonts w:hint="eastAsia" w:cs="Times New Roman"/>
      </w:rPr>
    </w:lvl>
    <w:lvl w:ilvl="8" w:tentative="0">
      <w:start w:val="1"/>
      <w:numFmt w:val="decimal"/>
      <w:pStyle w:val="10"/>
      <w:lvlText w:val="%1.%2.%3.%4.%5.%6.%7.%8.%9"/>
      <w:lvlJc w:val="left"/>
      <w:pPr>
        <w:tabs>
          <w:tab w:val="left" w:pos="1584"/>
        </w:tabs>
        <w:ind w:left="1584" w:hanging="1584"/>
      </w:pPr>
      <w:rPr>
        <w:rFonts w:hint="eastAsia" w:cs="Times New Roman"/>
      </w:rPr>
    </w:lvl>
  </w:abstractNum>
  <w:abstractNum w:abstractNumId="1">
    <w:nsid w:val="736D6DB1"/>
    <w:multiLevelType w:val="multilevel"/>
    <w:tmpl w:val="736D6DB1"/>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9215D4"/>
    <w:rsid w:val="000000C5"/>
    <w:rsid w:val="0000062D"/>
    <w:rsid w:val="000009E3"/>
    <w:rsid w:val="00002026"/>
    <w:rsid w:val="000057C6"/>
    <w:rsid w:val="0000681A"/>
    <w:rsid w:val="00007AC3"/>
    <w:rsid w:val="00007CB4"/>
    <w:rsid w:val="00007FD2"/>
    <w:rsid w:val="00010723"/>
    <w:rsid w:val="000139D4"/>
    <w:rsid w:val="00014236"/>
    <w:rsid w:val="00015778"/>
    <w:rsid w:val="000165DB"/>
    <w:rsid w:val="000203C5"/>
    <w:rsid w:val="0002086D"/>
    <w:rsid w:val="000213C9"/>
    <w:rsid w:val="0002156E"/>
    <w:rsid w:val="00022BF8"/>
    <w:rsid w:val="00024E26"/>
    <w:rsid w:val="00025A05"/>
    <w:rsid w:val="00026273"/>
    <w:rsid w:val="00026D40"/>
    <w:rsid w:val="00031842"/>
    <w:rsid w:val="00031B08"/>
    <w:rsid w:val="000329A8"/>
    <w:rsid w:val="0003345E"/>
    <w:rsid w:val="00034EAF"/>
    <w:rsid w:val="00035A17"/>
    <w:rsid w:val="00035A3E"/>
    <w:rsid w:val="000400CF"/>
    <w:rsid w:val="00042197"/>
    <w:rsid w:val="00043EAE"/>
    <w:rsid w:val="00043FC5"/>
    <w:rsid w:val="00044F18"/>
    <w:rsid w:val="0004585C"/>
    <w:rsid w:val="0004620A"/>
    <w:rsid w:val="00046936"/>
    <w:rsid w:val="000476A7"/>
    <w:rsid w:val="00047E07"/>
    <w:rsid w:val="00050362"/>
    <w:rsid w:val="00050576"/>
    <w:rsid w:val="000507B0"/>
    <w:rsid w:val="0005095E"/>
    <w:rsid w:val="0005270B"/>
    <w:rsid w:val="00053C4A"/>
    <w:rsid w:val="00054F89"/>
    <w:rsid w:val="00054F8D"/>
    <w:rsid w:val="0005506E"/>
    <w:rsid w:val="00056286"/>
    <w:rsid w:val="0005678F"/>
    <w:rsid w:val="0006292D"/>
    <w:rsid w:val="00062CA1"/>
    <w:rsid w:val="000638BB"/>
    <w:rsid w:val="00063BED"/>
    <w:rsid w:val="00063ED2"/>
    <w:rsid w:val="00064AD9"/>
    <w:rsid w:val="00065A54"/>
    <w:rsid w:val="00066EF0"/>
    <w:rsid w:val="000707FE"/>
    <w:rsid w:val="00070B62"/>
    <w:rsid w:val="00075300"/>
    <w:rsid w:val="000754DA"/>
    <w:rsid w:val="000756FD"/>
    <w:rsid w:val="00075B9F"/>
    <w:rsid w:val="00075C32"/>
    <w:rsid w:val="00076811"/>
    <w:rsid w:val="000772A9"/>
    <w:rsid w:val="0008259C"/>
    <w:rsid w:val="00083201"/>
    <w:rsid w:val="0008357F"/>
    <w:rsid w:val="00087499"/>
    <w:rsid w:val="00090C14"/>
    <w:rsid w:val="00092F64"/>
    <w:rsid w:val="00092F69"/>
    <w:rsid w:val="00093132"/>
    <w:rsid w:val="00093613"/>
    <w:rsid w:val="00093D97"/>
    <w:rsid w:val="00094764"/>
    <w:rsid w:val="00095469"/>
    <w:rsid w:val="000959FE"/>
    <w:rsid w:val="00096C44"/>
    <w:rsid w:val="00097A82"/>
    <w:rsid w:val="000A2AA5"/>
    <w:rsid w:val="000A4FE8"/>
    <w:rsid w:val="000A6365"/>
    <w:rsid w:val="000A6810"/>
    <w:rsid w:val="000A7F64"/>
    <w:rsid w:val="000B1E62"/>
    <w:rsid w:val="000B2A2E"/>
    <w:rsid w:val="000B3E31"/>
    <w:rsid w:val="000B5C6A"/>
    <w:rsid w:val="000B5F9E"/>
    <w:rsid w:val="000B64BA"/>
    <w:rsid w:val="000B7428"/>
    <w:rsid w:val="000B75AB"/>
    <w:rsid w:val="000C0268"/>
    <w:rsid w:val="000C0BB3"/>
    <w:rsid w:val="000C12C3"/>
    <w:rsid w:val="000C2425"/>
    <w:rsid w:val="000C3089"/>
    <w:rsid w:val="000C36AA"/>
    <w:rsid w:val="000C4AA1"/>
    <w:rsid w:val="000C5709"/>
    <w:rsid w:val="000C7FD5"/>
    <w:rsid w:val="000D0F75"/>
    <w:rsid w:val="000D156D"/>
    <w:rsid w:val="000D41F1"/>
    <w:rsid w:val="000D4998"/>
    <w:rsid w:val="000D5741"/>
    <w:rsid w:val="000D6287"/>
    <w:rsid w:val="000D6C6B"/>
    <w:rsid w:val="000D7C74"/>
    <w:rsid w:val="000E05F5"/>
    <w:rsid w:val="000E110C"/>
    <w:rsid w:val="000E1358"/>
    <w:rsid w:val="000E22A2"/>
    <w:rsid w:val="000E236F"/>
    <w:rsid w:val="000E29A8"/>
    <w:rsid w:val="000E3A64"/>
    <w:rsid w:val="000E43BF"/>
    <w:rsid w:val="000E55AE"/>
    <w:rsid w:val="000F041B"/>
    <w:rsid w:val="000F468A"/>
    <w:rsid w:val="000F50B8"/>
    <w:rsid w:val="000F637A"/>
    <w:rsid w:val="000F6AB1"/>
    <w:rsid w:val="000F7CE6"/>
    <w:rsid w:val="000F7EC5"/>
    <w:rsid w:val="0010066B"/>
    <w:rsid w:val="001009D9"/>
    <w:rsid w:val="00100B12"/>
    <w:rsid w:val="00100BD6"/>
    <w:rsid w:val="00100CB6"/>
    <w:rsid w:val="00100FD2"/>
    <w:rsid w:val="00101C2C"/>
    <w:rsid w:val="001028FA"/>
    <w:rsid w:val="00103B7F"/>
    <w:rsid w:val="00103EEA"/>
    <w:rsid w:val="0010428B"/>
    <w:rsid w:val="00105942"/>
    <w:rsid w:val="00110311"/>
    <w:rsid w:val="001113BE"/>
    <w:rsid w:val="00111D4B"/>
    <w:rsid w:val="0011215E"/>
    <w:rsid w:val="00112D39"/>
    <w:rsid w:val="001149DF"/>
    <w:rsid w:val="001153BC"/>
    <w:rsid w:val="00115DB3"/>
    <w:rsid w:val="0011620C"/>
    <w:rsid w:val="001170A1"/>
    <w:rsid w:val="00117B46"/>
    <w:rsid w:val="00121A73"/>
    <w:rsid w:val="0012337A"/>
    <w:rsid w:val="001237CA"/>
    <w:rsid w:val="00123E81"/>
    <w:rsid w:val="001253CC"/>
    <w:rsid w:val="001255A0"/>
    <w:rsid w:val="0012741D"/>
    <w:rsid w:val="00131414"/>
    <w:rsid w:val="00131BFF"/>
    <w:rsid w:val="0013395E"/>
    <w:rsid w:val="00135081"/>
    <w:rsid w:val="001358A0"/>
    <w:rsid w:val="00137AB8"/>
    <w:rsid w:val="00137BEA"/>
    <w:rsid w:val="00140B5C"/>
    <w:rsid w:val="00140BE9"/>
    <w:rsid w:val="001427AF"/>
    <w:rsid w:val="00142D66"/>
    <w:rsid w:val="00142DAD"/>
    <w:rsid w:val="00142FC5"/>
    <w:rsid w:val="0014349C"/>
    <w:rsid w:val="00145B51"/>
    <w:rsid w:val="001460AE"/>
    <w:rsid w:val="0014704E"/>
    <w:rsid w:val="0015191A"/>
    <w:rsid w:val="001525C3"/>
    <w:rsid w:val="00154315"/>
    <w:rsid w:val="00156194"/>
    <w:rsid w:val="0015760B"/>
    <w:rsid w:val="001629B8"/>
    <w:rsid w:val="0016337E"/>
    <w:rsid w:val="00163C3F"/>
    <w:rsid w:val="001640C6"/>
    <w:rsid w:val="00164162"/>
    <w:rsid w:val="00166191"/>
    <w:rsid w:val="00166EF5"/>
    <w:rsid w:val="001719FF"/>
    <w:rsid w:val="00171C37"/>
    <w:rsid w:val="001740FC"/>
    <w:rsid w:val="00174B7A"/>
    <w:rsid w:val="001765B9"/>
    <w:rsid w:val="001800AF"/>
    <w:rsid w:val="00181305"/>
    <w:rsid w:val="0018401B"/>
    <w:rsid w:val="00184566"/>
    <w:rsid w:val="00184E6F"/>
    <w:rsid w:val="001853D9"/>
    <w:rsid w:val="00185E5F"/>
    <w:rsid w:val="00186334"/>
    <w:rsid w:val="001867E9"/>
    <w:rsid w:val="001871C5"/>
    <w:rsid w:val="00190E5F"/>
    <w:rsid w:val="00192979"/>
    <w:rsid w:val="0019372F"/>
    <w:rsid w:val="001937D4"/>
    <w:rsid w:val="00193FF7"/>
    <w:rsid w:val="00194872"/>
    <w:rsid w:val="00194F66"/>
    <w:rsid w:val="001964DE"/>
    <w:rsid w:val="0019779D"/>
    <w:rsid w:val="001A078F"/>
    <w:rsid w:val="001A0CF7"/>
    <w:rsid w:val="001A0D7C"/>
    <w:rsid w:val="001A11C5"/>
    <w:rsid w:val="001A16C4"/>
    <w:rsid w:val="001A33CC"/>
    <w:rsid w:val="001A43EB"/>
    <w:rsid w:val="001A6CC8"/>
    <w:rsid w:val="001B13B9"/>
    <w:rsid w:val="001B573F"/>
    <w:rsid w:val="001C0641"/>
    <w:rsid w:val="001C249B"/>
    <w:rsid w:val="001C2B04"/>
    <w:rsid w:val="001C3081"/>
    <w:rsid w:val="001C5575"/>
    <w:rsid w:val="001C62AD"/>
    <w:rsid w:val="001C6361"/>
    <w:rsid w:val="001D0238"/>
    <w:rsid w:val="001D02FD"/>
    <w:rsid w:val="001D0CB7"/>
    <w:rsid w:val="001D17C1"/>
    <w:rsid w:val="001D189D"/>
    <w:rsid w:val="001D24CE"/>
    <w:rsid w:val="001D3CBF"/>
    <w:rsid w:val="001D44E1"/>
    <w:rsid w:val="001D4DC2"/>
    <w:rsid w:val="001D6D3A"/>
    <w:rsid w:val="001E269F"/>
    <w:rsid w:val="001E4239"/>
    <w:rsid w:val="001E4CF5"/>
    <w:rsid w:val="001E682E"/>
    <w:rsid w:val="001E6BA7"/>
    <w:rsid w:val="001F1529"/>
    <w:rsid w:val="001F304E"/>
    <w:rsid w:val="001F4CE8"/>
    <w:rsid w:val="001F543C"/>
    <w:rsid w:val="001F630B"/>
    <w:rsid w:val="001F6D44"/>
    <w:rsid w:val="001F78AB"/>
    <w:rsid w:val="002022A2"/>
    <w:rsid w:val="00204073"/>
    <w:rsid w:val="00204144"/>
    <w:rsid w:val="00204634"/>
    <w:rsid w:val="00204F58"/>
    <w:rsid w:val="00205184"/>
    <w:rsid w:val="002056AE"/>
    <w:rsid w:val="002057E0"/>
    <w:rsid w:val="00207954"/>
    <w:rsid w:val="002079D4"/>
    <w:rsid w:val="00207B70"/>
    <w:rsid w:val="00210204"/>
    <w:rsid w:val="00211640"/>
    <w:rsid w:val="00212419"/>
    <w:rsid w:val="002131B9"/>
    <w:rsid w:val="00214DEF"/>
    <w:rsid w:val="0021511E"/>
    <w:rsid w:val="00216243"/>
    <w:rsid w:val="002162E8"/>
    <w:rsid w:val="0021634B"/>
    <w:rsid w:val="00217DB1"/>
    <w:rsid w:val="0022135A"/>
    <w:rsid w:val="00222195"/>
    <w:rsid w:val="002233BD"/>
    <w:rsid w:val="00224145"/>
    <w:rsid w:val="0022484A"/>
    <w:rsid w:val="0022575D"/>
    <w:rsid w:val="0022609D"/>
    <w:rsid w:val="00226598"/>
    <w:rsid w:val="0022691E"/>
    <w:rsid w:val="00227C58"/>
    <w:rsid w:val="00230A03"/>
    <w:rsid w:val="002315D0"/>
    <w:rsid w:val="0023162E"/>
    <w:rsid w:val="00234C17"/>
    <w:rsid w:val="00237017"/>
    <w:rsid w:val="00237B79"/>
    <w:rsid w:val="00241267"/>
    <w:rsid w:val="00242008"/>
    <w:rsid w:val="00242327"/>
    <w:rsid w:val="00242D4B"/>
    <w:rsid w:val="00245609"/>
    <w:rsid w:val="00245E9E"/>
    <w:rsid w:val="00246330"/>
    <w:rsid w:val="00246A9E"/>
    <w:rsid w:val="00246CC2"/>
    <w:rsid w:val="00247BEB"/>
    <w:rsid w:val="0025161C"/>
    <w:rsid w:val="00254FFC"/>
    <w:rsid w:val="00255110"/>
    <w:rsid w:val="00255E48"/>
    <w:rsid w:val="00256E5B"/>
    <w:rsid w:val="00257727"/>
    <w:rsid w:val="00260127"/>
    <w:rsid w:val="00260816"/>
    <w:rsid w:val="002637DF"/>
    <w:rsid w:val="00263962"/>
    <w:rsid w:val="002642B2"/>
    <w:rsid w:val="002646CA"/>
    <w:rsid w:val="00267242"/>
    <w:rsid w:val="0027096E"/>
    <w:rsid w:val="00271032"/>
    <w:rsid w:val="00271896"/>
    <w:rsid w:val="0027246E"/>
    <w:rsid w:val="00273362"/>
    <w:rsid w:val="00273364"/>
    <w:rsid w:val="00274684"/>
    <w:rsid w:val="00275C2C"/>
    <w:rsid w:val="00277FA8"/>
    <w:rsid w:val="0028018D"/>
    <w:rsid w:val="0028048D"/>
    <w:rsid w:val="00280A83"/>
    <w:rsid w:val="00281262"/>
    <w:rsid w:val="00281675"/>
    <w:rsid w:val="00282EE5"/>
    <w:rsid w:val="002846B5"/>
    <w:rsid w:val="002849F7"/>
    <w:rsid w:val="0028563F"/>
    <w:rsid w:val="0029067D"/>
    <w:rsid w:val="002909F7"/>
    <w:rsid w:val="00290CFA"/>
    <w:rsid w:val="00291E3B"/>
    <w:rsid w:val="0029304E"/>
    <w:rsid w:val="00293848"/>
    <w:rsid w:val="00294C5F"/>
    <w:rsid w:val="002950A7"/>
    <w:rsid w:val="002950C0"/>
    <w:rsid w:val="00295416"/>
    <w:rsid w:val="002954FA"/>
    <w:rsid w:val="00295DFB"/>
    <w:rsid w:val="00297ADB"/>
    <w:rsid w:val="002A2145"/>
    <w:rsid w:val="002A3277"/>
    <w:rsid w:val="002A5B34"/>
    <w:rsid w:val="002A5F12"/>
    <w:rsid w:val="002A754E"/>
    <w:rsid w:val="002B103E"/>
    <w:rsid w:val="002B1425"/>
    <w:rsid w:val="002B27DF"/>
    <w:rsid w:val="002B2878"/>
    <w:rsid w:val="002B2FC3"/>
    <w:rsid w:val="002B3990"/>
    <w:rsid w:val="002B49AE"/>
    <w:rsid w:val="002B5E56"/>
    <w:rsid w:val="002B72B4"/>
    <w:rsid w:val="002B7644"/>
    <w:rsid w:val="002B764C"/>
    <w:rsid w:val="002C01A8"/>
    <w:rsid w:val="002C07FE"/>
    <w:rsid w:val="002C1EBE"/>
    <w:rsid w:val="002C3000"/>
    <w:rsid w:val="002C35B4"/>
    <w:rsid w:val="002C4235"/>
    <w:rsid w:val="002C6E47"/>
    <w:rsid w:val="002C7A4D"/>
    <w:rsid w:val="002D00A5"/>
    <w:rsid w:val="002D29F3"/>
    <w:rsid w:val="002D5283"/>
    <w:rsid w:val="002D59BC"/>
    <w:rsid w:val="002D5B70"/>
    <w:rsid w:val="002D5E2E"/>
    <w:rsid w:val="002D6957"/>
    <w:rsid w:val="002D698E"/>
    <w:rsid w:val="002E22E8"/>
    <w:rsid w:val="002E2A66"/>
    <w:rsid w:val="002E2BAB"/>
    <w:rsid w:val="002E79F8"/>
    <w:rsid w:val="002E7D65"/>
    <w:rsid w:val="002F13FC"/>
    <w:rsid w:val="002F1B69"/>
    <w:rsid w:val="002F2306"/>
    <w:rsid w:val="002F3232"/>
    <w:rsid w:val="002F48D1"/>
    <w:rsid w:val="002F52B3"/>
    <w:rsid w:val="002F62DC"/>
    <w:rsid w:val="002F64F7"/>
    <w:rsid w:val="002F6C0E"/>
    <w:rsid w:val="002F75C7"/>
    <w:rsid w:val="003002F4"/>
    <w:rsid w:val="003023BB"/>
    <w:rsid w:val="003033C6"/>
    <w:rsid w:val="00304A98"/>
    <w:rsid w:val="00305424"/>
    <w:rsid w:val="00312ACA"/>
    <w:rsid w:val="00313A10"/>
    <w:rsid w:val="00314047"/>
    <w:rsid w:val="00314C22"/>
    <w:rsid w:val="003153E4"/>
    <w:rsid w:val="00315C60"/>
    <w:rsid w:val="00320217"/>
    <w:rsid w:val="00320D5E"/>
    <w:rsid w:val="00321ACF"/>
    <w:rsid w:val="003232A1"/>
    <w:rsid w:val="00323F5C"/>
    <w:rsid w:val="00323F6E"/>
    <w:rsid w:val="00324AD6"/>
    <w:rsid w:val="00325974"/>
    <w:rsid w:val="003273C0"/>
    <w:rsid w:val="00327959"/>
    <w:rsid w:val="00330665"/>
    <w:rsid w:val="00330DF0"/>
    <w:rsid w:val="003321CD"/>
    <w:rsid w:val="00333582"/>
    <w:rsid w:val="0033374F"/>
    <w:rsid w:val="00334933"/>
    <w:rsid w:val="00334BD7"/>
    <w:rsid w:val="003360C6"/>
    <w:rsid w:val="00336B3C"/>
    <w:rsid w:val="003374B3"/>
    <w:rsid w:val="00337B5C"/>
    <w:rsid w:val="00337F54"/>
    <w:rsid w:val="00341603"/>
    <w:rsid w:val="00342144"/>
    <w:rsid w:val="003467B8"/>
    <w:rsid w:val="003476AA"/>
    <w:rsid w:val="003502C8"/>
    <w:rsid w:val="0035072C"/>
    <w:rsid w:val="00351454"/>
    <w:rsid w:val="0035254A"/>
    <w:rsid w:val="00352A52"/>
    <w:rsid w:val="00352B6F"/>
    <w:rsid w:val="00353C7E"/>
    <w:rsid w:val="003554CB"/>
    <w:rsid w:val="00355A31"/>
    <w:rsid w:val="00356ECD"/>
    <w:rsid w:val="00362906"/>
    <w:rsid w:val="003631EB"/>
    <w:rsid w:val="0036576E"/>
    <w:rsid w:val="00365AA9"/>
    <w:rsid w:val="0036645D"/>
    <w:rsid w:val="0036648F"/>
    <w:rsid w:val="00366803"/>
    <w:rsid w:val="00367206"/>
    <w:rsid w:val="0036757B"/>
    <w:rsid w:val="00367D0B"/>
    <w:rsid w:val="003701B7"/>
    <w:rsid w:val="003703AC"/>
    <w:rsid w:val="00370587"/>
    <w:rsid w:val="0037085E"/>
    <w:rsid w:val="00370FC4"/>
    <w:rsid w:val="00373376"/>
    <w:rsid w:val="00373C78"/>
    <w:rsid w:val="00375E8A"/>
    <w:rsid w:val="0037619F"/>
    <w:rsid w:val="0037668F"/>
    <w:rsid w:val="00377F7A"/>
    <w:rsid w:val="00380DDE"/>
    <w:rsid w:val="003813C0"/>
    <w:rsid w:val="00383404"/>
    <w:rsid w:val="00384753"/>
    <w:rsid w:val="00384F99"/>
    <w:rsid w:val="00385030"/>
    <w:rsid w:val="0038541A"/>
    <w:rsid w:val="003864B9"/>
    <w:rsid w:val="00387B30"/>
    <w:rsid w:val="0039066A"/>
    <w:rsid w:val="00391364"/>
    <w:rsid w:val="00391C83"/>
    <w:rsid w:val="00391E66"/>
    <w:rsid w:val="00393E19"/>
    <w:rsid w:val="003946AC"/>
    <w:rsid w:val="00394868"/>
    <w:rsid w:val="00395581"/>
    <w:rsid w:val="00395860"/>
    <w:rsid w:val="003961C8"/>
    <w:rsid w:val="00397721"/>
    <w:rsid w:val="003A1697"/>
    <w:rsid w:val="003A20BC"/>
    <w:rsid w:val="003A2BF0"/>
    <w:rsid w:val="003A56E8"/>
    <w:rsid w:val="003A58FC"/>
    <w:rsid w:val="003A5902"/>
    <w:rsid w:val="003A7454"/>
    <w:rsid w:val="003A761A"/>
    <w:rsid w:val="003A7853"/>
    <w:rsid w:val="003B1331"/>
    <w:rsid w:val="003B3695"/>
    <w:rsid w:val="003B3CC2"/>
    <w:rsid w:val="003B5E1D"/>
    <w:rsid w:val="003B6819"/>
    <w:rsid w:val="003B7326"/>
    <w:rsid w:val="003B74BF"/>
    <w:rsid w:val="003C2221"/>
    <w:rsid w:val="003C29B1"/>
    <w:rsid w:val="003C2DB7"/>
    <w:rsid w:val="003C2FC2"/>
    <w:rsid w:val="003C341A"/>
    <w:rsid w:val="003C38AC"/>
    <w:rsid w:val="003C3A68"/>
    <w:rsid w:val="003C49BC"/>
    <w:rsid w:val="003C4D79"/>
    <w:rsid w:val="003C50F5"/>
    <w:rsid w:val="003C6123"/>
    <w:rsid w:val="003D0474"/>
    <w:rsid w:val="003D3A9C"/>
    <w:rsid w:val="003D3C62"/>
    <w:rsid w:val="003D42BD"/>
    <w:rsid w:val="003D46CC"/>
    <w:rsid w:val="003D4CD1"/>
    <w:rsid w:val="003D5793"/>
    <w:rsid w:val="003D5FAF"/>
    <w:rsid w:val="003E0A8F"/>
    <w:rsid w:val="003E1464"/>
    <w:rsid w:val="003E16EB"/>
    <w:rsid w:val="003E1D0A"/>
    <w:rsid w:val="003E61F7"/>
    <w:rsid w:val="003E6939"/>
    <w:rsid w:val="003F0377"/>
    <w:rsid w:val="003F03EC"/>
    <w:rsid w:val="003F0FC7"/>
    <w:rsid w:val="003F1E4E"/>
    <w:rsid w:val="003F224A"/>
    <w:rsid w:val="003F3DE7"/>
    <w:rsid w:val="003F4596"/>
    <w:rsid w:val="003F4FC1"/>
    <w:rsid w:val="003F5056"/>
    <w:rsid w:val="003F6A34"/>
    <w:rsid w:val="003F70C7"/>
    <w:rsid w:val="003F721D"/>
    <w:rsid w:val="003F7C62"/>
    <w:rsid w:val="0040052C"/>
    <w:rsid w:val="00400D0E"/>
    <w:rsid w:val="00402CDF"/>
    <w:rsid w:val="00403151"/>
    <w:rsid w:val="0040339F"/>
    <w:rsid w:val="00403C2E"/>
    <w:rsid w:val="00403EFA"/>
    <w:rsid w:val="00404E9B"/>
    <w:rsid w:val="0040530A"/>
    <w:rsid w:val="0040691E"/>
    <w:rsid w:val="004069F5"/>
    <w:rsid w:val="004078C1"/>
    <w:rsid w:val="00407F2F"/>
    <w:rsid w:val="00410473"/>
    <w:rsid w:val="00412224"/>
    <w:rsid w:val="004124CD"/>
    <w:rsid w:val="00412B40"/>
    <w:rsid w:val="00414278"/>
    <w:rsid w:val="00414379"/>
    <w:rsid w:val="004148C5"/>
    <w:rsid w:val="0042386A"/>
    <w:rsid w:val="004249E6"/>
    <w:rsid w:val="00427162"/>
    <w:rsid w:val="00432DFA"/>
    <w:rsid w:val="004338C9"/>
    <w:rsid w:val="00435CA8"/>
    <w:rsid w:val="004363F0"/>
    <w:rsid w:val="004378D0"/>
    <w:rsid w:val="00440393"/>
    <w:rsid w:val="00441279"/>
    <w:rsid w:val="004429BD"/>
    <w:rsid w:val="00442A24"/>
    <w:rsid w:val="00443771"/>
    <w:rsid w:val="004438B5"/>
    <w:rsid w:val="00445321"/>
    <w:rsid w:val="004464E2"/>
    <w:rsid w:val="00446E6F"/>
    <w:rsid w:val="00450270"/>
    <w:rsid w:val="00450754"/>
    <w:rsid w:val="0045095C"/>
    <w:rsid w:val="004534FB"/>
    <w:rsid w:val="0045572D"/>
    <w:rsid w:val="00455895"/>
    <w:rsid w:val="00456A81"/>
    <w:rsid w:val="0045740C"/>
    <w:rsid w:val="0046093D"/>
    <w:rsid w:val="0046256A"/>
    <w:rsid w:val="00463E4D"/>
    <w:rsid w:val="00464B5E"/>
    <w:rsid w:val="0047039B"/>
    <w:rsid w:val="0047137F"/>
    <w:rsid w:val="00472A07"/>
    <w:rsid w:val="0047387E"/>
    <w:rsid w:val="00473B00"/>
    <w:rsid w:val="00474D18"/>
    <w:rsid w:val="004756D6"/>
    <w:rsid w:val="00475C62"/>
    <w:rsid w:val="00482317"/>
    <w:rsid w:val="0048261B"/>
    <w:rsid w:val="00483533"/>
    <w:rsid w:val="00484302"/>
    <w:rsid w:val="00484D59"/>
    <w:rsid w:val="0048561D"/>
    <w:rsid w:val="00487A3A"/>
    <w:rsid w:val="0049047B"/>
    <w:rsid w:val="00490E6F"/>
    <w:rsid w:val="00491965"/>
    <w:rsid w:val="004929C6"/>
    <w:rsid w:val="0049537C"/>
    <w:rsid w:val="004960AD"/>
    <w:rsid w:val="00496EAF"/>
    <w:rsid w:val="00497728"/>
    <w:rsid w:val="004A3143"/>
    <w:rsid w:val="004A5CE8"/>
    <w:rsid w:val="004A7871"/>
    <w:rsid w:val="004B0090"/>
    <w:rsid w:val="004B0102"/>
    <w:rsid w:val="004B116E"/>
    <w:rsid w:val="004B1891"/>
    <w:rsid w:val="004B1D9C"/>
    <w:rsid w:val="004B20EE"/>
    <w:rsid w:val="004B46C5"/>
    <w:rsid w:val="004B48B6"/>
    <w:rsid w:val="004B5AC5"/>
    <w:rsid w:val="004B6E4A"/>
    <w:rsid w:val="004C050C"/>
    <w:rsid w:val="004C1ABC"/>
    <w:rsid w:val="004C2B6C"/>
    <w:rsid w:val="004C4CCC"/>
    <w:rsid w:val="004C605B"/>
    <w:rsid w:val="004C79A4"/>
    <w:rsid w:val="004C7B7B"/>
    <w:rsid w:val="004D2687"/>
    <w:rsid w:val="004D2CC4"/>
    <w:rsid w:val="004D437E"/>
    <w:rsid w:val="004D49F2"/>
    <w:rsid w:val="004E0240"/>
    <w:rsid w:val="004E04F6"/>
    <w:rsid w:val="004E4280"/>
    <w:rsid w:val="004E537E"/>
    <w:rsid w:val="004E6082"/>
    <w:rsid w:val="004E721E"/>
    <w:rsid w:val="004F01A1"/>
    <w:rsid w:val="004F02F0"/>
    <w:rsid w:val="004F0B5D"/>
    <w:rsid w:val="004F1AE5"/>
    <w:rsid w:val="004F3101"/>
    <w:rsid w:val="004F3671"/>
    <w:rsid w:val="004F385A"/>
    <w:rsid w:val="004F3B7E"/>
    <w:rsid w:val="004F55AD"/>
    <w:rsid w:val="004F719F"/>
    <w:rsid w:val="004F766E"/>
    <w:rsid w:val="0050061E"/>
    <w:rsid w:val="0050301B"/>
    <w:rsid w:val="00503C31"/>
    <w:rsid w:val="005045AB"/>
    <w:rsid w:val="00504B2B"/>
    <w:rsid w:val="00505105"/>
    <w:rsid w:val="00505279"/>
    <w:rsid w:val="00505475"/>
    <w:rsid w:val="00505E63"/>
    <w:rsid w:val="00506206"/>
    <w:rsid w:val="00506C7D"/>
    <w:rsid w:val="005075B0"/>
    <w:rsid w:val="00511C99"/>
    <w:rsid w:val="00512725"/>
    <w:rsid w:val="00512961"/>
    <w:rsid w:val="00513E7B"/>
    <w:rsid w:val="00513FF5"/>
    <w:rsid w:val="005143D6"/>
    <w:rsid w:val="005146F6"/>
    <w:rsid w:val="00516C63"/>
    <w:rsid w:val="00516FB8"/>
    <w:rsid w:val="00516FCA"/>
    <w:rsid w:val="00516FD3"/>
    <w:rsid w:val="00517A98"/>
    <w:rsid w:val="005205B8"/>
    <w:rsid w:val="00522636"/>
    <w:rsid w:val="00522973"/>
    <w:rsid w:val="005230CC"/>
    <w:rsid w:val="00523302"/>
    <w:rsid w:val="005244D0"/>
    <w:rsid w:val="00524CAD"/>
    <w:rsid w:val="00526398"/>
    <w:rsid w:val="005269C2"/>
    <w:rsid w:val="00527217"/>
    <w:rsid w:val="00527B7D"/>
    <w:rsid w:val="00530A6F"/>
    <w:rsid w:val="00530E57"/>
    <w:rsid w:val="00532016"/>
    <w:rsid w:val="00532EF1"/>
    <w:rsid w:val="0053338D"/>
    <w:rsid w:val="00534A22"/>
    <w:rsid w:val="00534E09"/>
    <w:rsid w:val="00535F59"/>
    <w:rsid w:val="00537FC3"/>
    <w:rsid w:val="005414C8"/>
    <w:rsid w:val="005425F8"/>
    <w:rsid w:val="00542C6D"/>
    <w:rsid w:val="00542FA7"/>
    <w:rsid w:val="005438AF"/>
    <w:rsid w:val="00547E56"/>
    <w:rsid w:val="0055431F"/>
    <w:rsid w:val="00554866"/>
    <w:rsid w:val="00554C9D"/>
    <w:rsid w:val="00554E97"/>
    <w:rsid w:val="00555A9F"/>
    <w:rsid w:val="00556933"/>
    <w:rsid w:val="00560B7F"/>
    <w:rsid w:val="005613A6"/>
    <w:rsid w:val="005619FA"/>
    <w:rsid w:val="00562370"/>
    <w:rsid w:val="0056338D"/>
    <w:rsid w:val="0056360F"/>
    <w:rsid w:val="00563DBC"/>
    <w:rsid w:val="00563FAE"/>
    <w:rsid w:val="005651DF"/>
    <w:rsid w:val="00565E4F"/>
    <w:rsid w:val="005667CF"/>
    <w:rsid w:val="005701C2"/>
    <w:rsid w:val="00570CB4"/>
    <w:rsid w:val="0057140F"/>
    <w:rsid w:val="005717F9"/>
    <w:rsid w:val="00571BA3"/>
    <w:rsid w:val="005721E0"/>
    <w:rsid w:val="00573B6B"/>
    <w:rsid w:val="0057405A"/>
    <w:rsid w:val="005749D7"/>
    <w:rsid w:val="005760A6"/>
    <w:rsid w:val="0057684E"/>
    <w:rsid w:val="00576866"/>
    <w:rsid w:val="00576ACF"/>
    <w:rsid w:val="0057704C"/>
    <w:rsid w:val="00577B5B"/>
    <w:rsid w:val="00577FFE"/>
    <w:rsid w:val="005811E2"/>
    <w:rsid w:val="0058147F"/>
    <w:rsid w:val="005834EE"/>
    <w:rsid w:val="00584886"/>
    <w:rsid w:val="00584A66"/>
    <w:rsid w:val="00585508"/>
    <w:rsid w:val="00585AE9"/>
    <w:rsid w:val="005866C5"/>
    <w:rsid w:val="0058682A"/>
    <w:rsid w:val="00587732"/>
    <w:rsid w:val="005877E4"/>
    <w:rsid w:val="00591F30"/>
    <w:rsid w:val="0059417C"/>
    <w:rsid w:val="00594702"/>
    <w:rsid w:val="005A040B"/>
    <w:rsid w:val="005A13AC"/>
    <w:rsid w:val="005A27ED"/>
    <w:rsid w:val="005A2B54"/>
    <w:rsid w:val="005A2E0B"/>
    <w:rsid w:val="005A668C"/>
    <w:rsid w:val="005A6E96"/>
    <w:rsid w:val="005A7966"/>
    <w:rsid w:val="005A7AC8"/>
    <w:rsid w:val="005B0165"/>
    <w:rsid w:val="005B1910"/>
    <w:rsid w:val="005B2A5B"/>
    <w:rsid w:val="005B649B"/>
    <w:rsid w:val="005B6D25"/>
    <w:rsid w:val="005C1CE3"/>
    <w:rsid w:val="005C33EB"/>
    <w:rsid w:val="005C42B6"/>
    <w:rsid w:val="005C48FF"/>
    <w:rsid w:val="005C59B6"/>
    <w:rsid w:val="005C672E"/>
    <w:rsid w:val="005D0EF2"/>
    <w:rsid w:val="005D1899"/>
    <w:rsid w:val="005D1D04"/>
    <w:rsid w:val="005D1D96"/>
    <w:rsid w:val="005D25FB"/>
    <w:rsid w:val="005D29FF"/>
    <w:rsid w:val="005D3263"/>
    <w:rsid w:val="005D4548"/>
    <w:rsid w:val="005D57E5"/>
    <w:rsid w:val="005D582A"/>
    <w:rsid w:val="005D5ADE"/>
    <w:rsid w:val="005D61F8"/>
    <w:rsid w:val="005D6E60"/>
    <w:rsid w:val="005D76E0"/>
    <w:rsid w:val="005D79A2"/>
    <w:rsid w:val="005D79CF"/>
    <w:rsid w:val="005E0046"/>
    <w:rsid w:val="005E0895"/>
    <w:rsid w:val="005E14E1"/>
    <w:rsid w:val="005E296C"/>
    <w:rsid w:val="005E589D"/>
    <w:rsid w:val="005E6754"/>
    <w:rsid w:val="005F0ED6"/>
    <w:rsid w:val="005F2CF5"/>
    <w:rsid w:val="005F3551"/>
    <w:rsid w:val="005F3ED5"/>
    <w:rsid w:val="005F3F34"/>
    <w:rsid w:val="005F58E2"/>
    <w:rsid w:val="005F6277"/>
    <w:rsid w:val="005F631A"/>
    <w:rsid w:val="005F71B3"/>
    <w:rsid w:val="005F72D9"/>
    <w:rsid w:val="0060123B"/>
    <w:rsid w:val="00601DAF"/>
    <w:rsid w:val="006020B9"/>
    <w:rsid w:val="00602F02"/>
    <w:rsid w:val="00604A56"/>
    <w:rsid w:val="00604F98"/>
    <w:rsid w:val="006051E0"/>
    <w:rsid w:val="00605584"/>
    <w:rsid w:val="00606360"/>
    <w:rsid w:val="006121EB"/>
    <w:rsid w:val="006134EF"/>
    <w:rsid w:val="00613BA4"/>
    <w:rsid w:val="00613F11"/>
    <w:rsid w:val="006146AA"/>
    <w:rsid w:val="00614957"/>
    <w:rsid w:val="00616285"/>
    <w:rsid w:val="00616A63"/>
    <w:rsid w:val="00621334"/>
    <w:rsid w:val="00622601"/>
    <w:rsid w:val="006236FE"/>
    <w:rsid w:val="006239AE"/>
    <w:rsid w:val="006245DC"/>
    <w:rsid w:val="00624AC8"/>
    <w:rsid w:val="00624B28"/>
    <w:rsid w:val="0062731C"/>
    <w:rsid w:val="006348DD"/>
    <w:rsid w:val="00635035"/>
    <w:rsid w:val="00635213"/>
    <w:rsid w:val="00637D35"/>
    <w:rsid w:val="0064008D"/>
    <w:rsid w:val="00641786"/>
    <w:rsid w:val="00643561"/>
    <w:rsid w:val="00645121"/>
    <w:rsid w:val="0064574D"/>
    <w:rsid w:val="0064745C"/>
    <w:rsid w:val="006477C2"/>
    <w:rsid w:val="006478F3"/>
    <w:rsid w:val="006500E1"/>
    <w:rsid w:val="0065057B"/>
    <w:rsid w:val="00650611"/>
    <w:rsid w:val="0065133D"/>
    <w:rsid w:val="00651A70"/>
    <w:rsid w:val="00651F49"/>
    <w:rsid w:val="00652C47"/>
    <w:rsid w:val="0065406F"/>
    <w:rsid w:val="00655CEB"/>
    <w:rsid w:val="00656329"/>
    <w:rsid w:val="00657C46"/>
    <w:rsid w:val="00661269"/>
    <w:rsid w:val="0066143C"/>
    <w:rsid w:val="00661F37"/>
    <w:rsid w:val="006623BA"/>
    <w:rsid w:val="006626C5"/>
    <w:rsid w:val="00666183"/>
    <w:rsid w:val="0066687F"/>
    <w:rsid w:val="00667C3E"/>
    <w:rsid w:val="00667E94"/>
    <w:rsid w:val="006716E3"/>
    <w:rsid w:val="00671C2E"/>
    <w:rsid w:val="00674001"/>
    <w:rsid w:val="00674A6A"/>
    <w:rsid w:val="0067577F"/>
    <w:rsid w:val="00675969"/>
    <w:rsid w:val="00675AD6"/>
    <w:rsid w:val="006764D3"/>
    <w:rsid w:val="006767F0"/>
    <w:rsid w:val="00680B7C"/>
    <w:rsid w:val="0068166E"/>
    <w:rsid w:val="006819CF"/>
    <w:rsid w:val="00681B5F"/>
    <w:rsid w:val="00682A58"/>
    <w:rsid w:val="00682E86"/>
    <w:rsid w:val="006840D1"/>
    <w:rsid w:val="00685AAA"/>
    <w:rsid w:val="006866F7"/>
    <w:rsid w:val="006867B2"/>
    <w:rsid w:val="006925BF"/>
    <w:rsid w:val="0069294C"/>
    <w:rsid w:val="00692F89"/>
    <w:rsid w:val="006931F1"/>
    <w:rsid w:val="0069395F"/>
    <w:rsid w:val="00693BAE"/>
    <w:rsid w:val="00693FD4"/>
    <w:rsid w:val="006969A2"/>
    <w:rsid w:val="006970C3"/>
    <w:rsid w:val="0069713B"/>
    <w:rsid w:val="00697921"/>
    <w:rsid w:val="00697F77"/>
    <w:rsid w:val="006A01EB"/>
    <w:rsid w:val="006A03E0"/>
    <w:rsid w:val="006A0CEC"/>
    <w:rsid w:val="006A0D4F"/>
    <w:rsid w:val="006A11E2"/>
    <w:rsid w:val="006A240F"/>
    <w:rsid w:val="006A2DB1"/>
    <w:rsid w:val="006A3034"/>
    <w:rsid w:val="006A31EF"/>
    <w:rsid w:val="006A34BF"/>
    <w:rsid w:val="006A50A1"/>
    <w:rsid w:val="006A601C"/>
    <w:rsid w:val="006A7086"/>
    <w:rsid w:val="006B12F5"/>
    <w:rsid w:val="006B1FAB"/>
    <w:rsid w:val="006B20AE"/>
    <w:rsid w:val="006B3EAA"/>
    <w:rsid w:val="006B45B4"/>
    <w:rsid w:val="006B7C04"/>
    <w:rsid w:val="006C0477"/>
    <w:rsid w:val="006C0901"/>
    <w:rsid w:val="006C1E7B"/>
    <w:rsid w:val="006C4B00"/>
    <w:rsid w:val="006C4D9F"/>
    <w:rsid w:val="006D1EDD"/>
    <w:rsid w:val="006D1F48"/>
    <w:rsid w:val="006D3D49"/>
    <w:rsid w:val="006D5B86"/>
    <w:rsid w:val="006D69B6"/>
    <w:rsid w:val="006E0737"/>
    <w:rsid w:val="006E15A5"/>
    <w:rsid w:val="006E34FB"/>
    <w:rsid w:val="006E377F"/>
    <w:rsid w:val="006E46CA"/>
    <w:rsid w:val="006E47F2"/>
    <w:rsid w:val="006E5A39"/>
    <w:rsid w:val="006E5ABE"/>
    <w:rsid w:val="006F0190"/>
    <w:rsid w:val="006F0F0A"/>
    <w:rsid w:val="006F1687"/>
    <w:rsid w:val="006F1C10"/>
    <w:rsid w:val="006F2DF9"/>
    <w:rsid w:val="006F357F"/>
    <w:rsid w:val="006F46EA"/>
    <w:rsid w:val="006F51D1"/>
    <w:rsid w:val="006F585E"/>
    <w:rsid w:val="006F7E9C"/>
    <w:rsid w:val="006F7FD4"/>
    <w:rsid w:val="007003DE"/>
    <w:rsid w:val="0070211A"/>
    <w:rsid w:val="00702A27"/>
    <w:rsid w:val="0070386C"/>
    <w:rsid w:val="00703A31"/>
    <w:rsid w:val="00707378"/>
    <w:rsid w:val="00707C1A"/>
    <w:rsid w:val="00707ED5"/>
    <w:rsid w:val="007101B8"/>
    <w:rsid w:val="00712335"/>
    <w:rsid w:val="00712824"/>
    <w:rsid w:val="007129C1"/>
    <w:rsid w:val="00713170"/>
    <w:rsid w:val="0071348E"/>
    <w:rsid w:val="007149BF"/>
    <w:rsid w:val="007172D6"/>
    <w:rsid w:val="00720223"/>
    <w:rsid w:val="00720B02"/>
    <w:rsid w:val="0072101C"/>
    <w:rsid w:val="00721978"/>
    <w:rsid w:val="0072246E"/>
    <w:rsid w:val="007225D2"/>
    <w:rsid w:val="00722F4B"/>
    <w:rsid w:val="00724483"/>
    <w:rsid w:val="00724E9D"/>
    <w:rsid w:val="00727228"/>
    <w:rsid w:val="00730E2D"/>
    <w:rsid w:val="007315A8"/>
    <w:rsid w:val="0073279D"/>
    <w:rsid w:val="00732A10"/>
    <w:rsid w:val="00733E59"/>
    <w:rsid w:val="00734593"/>
    <w:rsid w:val="00734F40"/>
    <w:rsid w:val="00735508"/>
    <w:rsid w:val="0073566E"/>
    <w:rsid w:val="00736071"/>
    <w:rsid w:val="0073615C"/>
    <w:rsid w:val="0074045F"/>
    <w:rsid w:val="00740F7E"/>
    <w:rsid w:val="0074162A"/>
    <w:rsid w:val="00741BF9"/>
    <w:rsid w:val="00741EE6"/>
    <w:rsid w:val="007429AB"/>
    <w:rsid w:val="00744495"/>
    <w:rsid w:val="00744D29"/>
    <w:rsid w:val="007454B3"/>
    <w:rsid w:val="007466CA"/>
    <w:rsid w:val="00750C50"/>
    <w:rsid w:val="00751982"/>
    <w:rsid w:val="007528BC"/>
    <w:rsid w:val="00752FBF"/>
    <w:rsid w:val="0075357C"/>
    <w:rsid w:val="00753C84"/>
    <w:rsid w:val="00754AD3"/>
    <w:rsid w:val="007556BD"/>
    <w:rsid w:val="00756B04"/>
    <w:rsid w:val="007608BE"/>
    <w:rsid w:val="007608CD"/>
    <w:rsid w:val="00761174"/>
    <w:rsid w:val="00761921"/>
    <w:rsid w:val="00761AD0"/>
    <w:rsid w:val="007622D7"/>
    <w:rsid w:val="00764138"/>
    <w:rsid w:val="007657AA"/>
    <w:rsid w:val="00767A97"/>
    <w:rsid w:val="007709F0"/>
    <w:rsid w:val="00771F87"/>
    <w:rsid w:val="00772FBB"/>
    <w:rsid w:val="00774B54"/>
    <w:rsid w:val="00775D86"/>
    <w:rsid w:val="00775DD1"/>
    <w:rsid w:val="007813EB"/>
    <w:rsid w:val="00781D13"/>
    <w:rsid w:val="007820A3"/>
    <w:rsid w:val="00782276"/>
    <w:rsid w:val="0078331A"/>
    <w:rsid w:val="00783C7A"/>
    <w:rsid w:val="007867C0"/>
    <w:rsid w:val="00786D8A"/>
    <w:rsid w:val="0078708B"/>
    <w:rsid w:val="00791584"/>
    <w:rsid w:val="0079218D"/>
    <w:rsid w:val="007930E3"/>
    <w:rsid w:val="00793531"/>
    <w:rsid w:val="00793745"/>
    <w:rsid w:val="00793D37"/>
    <w:rsid w:val="007948B4"/>
    <w:rsid w:val="00795022"/>
    <w:rsid w:val="00795E25"/>
    <w:rsid w:val="00797BB2"/>
    <w:rsid w:val="007A061E"/>
    <w:rsid w:val="007A0724"/>
    <w:rsid w:val="007A2EAF"/>
    <w:rsid w:val="007A3296"/>
    <w:rsid w:val="007A384F"/>
    <w:rsid w:val="007A3A05"/>
    <w:rsid w:val="007A424D"/>
    <w:rsid w:val="007A5556"/>
    <w:rsid w:val="007A642D"/>
    <w:rsid w:val="007A6D8E"/>
    <w:rsid w:val="007B042D"/>
    <w:rsid w:val="007B04E1"/>
    <w:rsid w:val="007B34A0"/>
    <w:rsid w:val="007B5C2F"/>
    <w:rsid w:val="007B5C3B"/>
    <w:rsid w:val="007B6844"/>
    <w:rsid w:val="007C01FA"/>
    <w:rsid w:val="007C3181"/>
    <w:rsid w:val="007C44B7"/>
    <w:rsid w:val="007C4631"/>
    <w:rsid w:val="007C57D7"/>
    <w:rsid w:val="007C7248"/>
    <w:rsid w:val="007D0A3D"/>
    <w:rsid w:val="007D1AEB"/>
    <w:rsid w:val="007D22D7"/>
    <w:rsid w:val="007D24C5"/>
    <w:rsid w:val="007D3200"/>
    <w:rsid w:val="007D338F"/>
    <w:rsid w:val="007D5F7D"/>
    <w:rsid w:val="007D7B06"/>
    <w:rsid w:val="007D7EE6"/>
    <w:rsid w:val="007E062C"/>
    <w:rsid w:val="007E09CC"/>
    <w:rsid w:val="007E158A"/>
    <w:rsid w:val="007E22CB"/>
    <w:rsid w:val="007E3B9F"/>
    <w:rsid w:val="007E3C1E"/>
    <w:rsid w:val="007E5354"/>
    <w:rsid w:val="007E5930"/>
    <w:rsid w:val="007E5F54"/>
    <w:rsid w:val="007E635C"/>
    <w:rsid w:val="007F011F"/>
    <w:rsid w:val="007F0230"/>
    <w:rsid w:val="007F04DE"/>
    <w:rsid w:val="007F2B9D"/>
    <w:rsid w:val="007F32A3"/>
    <w:rsid w:val="007F5229"/>
    <w:rsid w:val="007F5582"/>
    <w:rsid w:val="008005E4"/>
    <w:rsid w:val="00800ADE"/>
    <w:rsid w:val="00800CA1"/>
    <w:rsid w:val="00801D25"/>
    <w:rsid w:val="00802043"/>
    <w:rsid w:val="0080324B"/>
    <w:rsid w:val="00803DDE"/>
    <w:rsid w:val="0081105C"/>
    <w:rsid w:val="0081114C"/>
    <w:rsid w:val="0081157C"/>
    <w:rsid w:val="00813FB4"/>
    <w:rsid w:val="00814735"/>
    <w:rsid w:val="00814C73"/>
    <w:rsid w:val="00814DB8"/>
    <w:rsid w:val="00816249"/>
    <w:rsid w:val="00817DCD"/>
    <w:rsid w:val="00820629"/>
    <w:rsid w:val="00820CD1"/>
    <w:rsid w:val="008211AD"/>
    <w:rsid w:val="008225A8"/>
    <w:rsid w:val="00823209"/>
    <w:rsid w:val="0082499B"/>
    <w:rsid w:val="008253E3"/>
    <w:rsid w:val="008254AE"/>
    <w:rsid w:val="00825BEE"/>
    <w:rsid w:val="00826AC3"/>
    <w:rsid w:val="008272CF"/>
    <w:rsid w:val="008301CE"/>
    <w:rsid w:val="008301F9"/>
    <w:rsid w:val="00832003"/>
    <w:rsid w:val="008335F1"/>
    <w:rsid w:val="00833EAD"/>
    <w:rsid w:val="00834C97"/>
    <w:rsid w:val="00835322"/>
    <w:rsid w:val="008354CB"/>
    <w:rsid w:val="00836871"/>
    <w:rsid w:val="00837FB3"/>
    <w:rsid w:val="00841B11"/>
    <w:rsid w:val="00842B22"/>
    <w:rsid w:val="00844EDC"/>
    <w:rsid w:val="00845FE6"/>
    <w:rsid w:val="00846362"/>
    <w:rsid w:val="008468FB"/>
    <w:rsid w:val="008471D0"/>
    <w:rsid w:val="00847E81"/>
    <w:rsid w:val="00850522"/>
    <w:rsid w:val="00851CA4"/>
    <w:rsid w:val="00851D37"/>
    <w:rsid w:val="0085247E"/>
    <w:rsid w:val="008524D8"/>
    <w:rsid w:val="00853417"/>
    <w:rsid w:val="008536CB"/>
    <w:rsid w:val="008545ED"/>
    <w:rsid w:val="0086086B"/>
    <w:rsid w:val="008612F2"/>
    <w:rsid w:val="00861913"/>
    <w:rsid w:val="00862730"/>
    <w:rsid w:val="00863209"/>
    <w:rsid w:val="008657C3"/>
    <w:rsid w:val="00865D37"/>
    <w:rsid w:val="008662CA"/>
    <w:rsid w:val="0086681C"/>
    <w:rsid w:val="00867DC6"/>
    <w:rsid w:val="008709CA"/>
    <w:rsid w:val="008711F4"/>
    <w:rsid w:val="00873285"/>
    <w:rsid w:val="00874434"/>
    <w:rsid w:val="00874E37"/>
    <w:rsid w:val="008750E1"/>
    <w:rsid w:val="00875F5F"/>
    <w:rsid w:val="0087600C"/>
    <w:rsid w:val="00876D5F"/>
    <w:rsid w:val="0088060E"/>
    <w:rsid w:val="008836B8"/>
    <w:rsid w:val="00885A22"/>
    <w:rsid w:val="00886390"/>
    <w:rsid w:val="008866D7"/>
    <w:rsid w:val="00887319"/>
    <w:rsid w:val="00887A2E"/>
    <w:rsid w:val="0089119D"/>
    <w:rsid w:val="00891955"/>
    <w:rsid w:val="00895FD1"/>
    <w:rsid w:val="00896C91"/>
    <w:rsid w:val="008977B9"/>
    <w:rsid w:val="008A4455"/>
    <w:rsid w:val="008A48E4"/>
    <w:rsid w:val="008A50A0"/>
    <w:rsid w:val="008A58E5"/>
    <w:rsid w:val="008B099E"/>
    <w:rsid w:val="008B1DDE"/>
    <w:rsid w:val="008B3651"/>
    <w:rsid w:val="008B38AC"/>
    <w:rsid w:val="008B3C3E"/>
    <w:rsid w:val="008B43A0"/>
    <w:rsid w:val="008B4C64"/>
    <w:rsid w:val="008B4FD5"/>
    <w:rsid w:val="008B53D5"/>
    <w:rsid w:val="008B5545"/>
    <w:rsid w:val="008B5B6B"/>
    <w:rsid w:val="008C54E9"/>
    <w:rsid w:val="008C5632"/>
    <w:rsid w:val="008C695E"/>
    <w:rsid w:val="008D020A"/>
    <w:rsid w:val="008D3EA7"/>
    <w:rsid w:val="008D4F25"/>
    <w:rsid w:val="008D78B8"/>
    <w:rsid w:val="008D78F9"/>
    <w:rsid w:val="008E0F9B"/>
    <w:rsid w:val="008E3753"/>
    <w:rsid w:val="008E38AD"/>
    <w:rsid w:val="008E3ADA"/>
    <w:rsid w:val="008E4426"/>
    <w:rsid w:val="008E51AE"/>
    <w:rsid w:val="008E5610"/>
    <w:rsid w:val="008E5B45"/>
    <w:rsid w:val="008E64FC"/>
    <w:rsid w:val="008E7159"/>
    <w:rsid w:val="008E7283"/>
    <w:rsid w:val="008E7A54"/>
    <w:rsid w:val="008E7F1F"/>
    <w:rsid w:val="008F031E"/>
    <w:rsid w:val="008F1119"/>
    <w:rsid w:val="008F269F"/>
    <w:rsid w:val="008F27AD"/>
    <w:rsid w:val="008F36D4"/>
    <w:rsid w:val="008F384E"/>
    <w:rsid w:val="008F4898"/>
    <w:rsid w:val="008F62DE"/>
    <w:rsid w:val="008F6CFE"/>
    <w:rsid w:val="008F7FF6"/>
    <w:rsid w:val="009001C4"/>
    <w:rsid w:val="009001DA"/>
    <w:rsid w:val="00900615"/>
    <w:rsid w:val="00901C1D"/>
    <w:rsid w:val="009024F7"/>
    <w:rsid w:val="009053F6"/>
    <w:rsid w:val="00905ABF"/>
    <w:rsid w:val="00907029"/>
    <w:rsid w:val="00910F09"/>
    <w:rsid w:val="0091284B"/>
    <w:rsid w:val="009130BD"/>
    <w:rsid w:val="00913649"/>
    <w:rsid w:val="009144A6"/>
    <w:rsid w:val="00914D13"/>
    <w:rsid w:val="009159AF"/>
    <w:rsid w:val="00915ED0"/>
    <w:rsid w:val="009169C1"/>
    <w:rsid w:val="00916BD9"/>
    <w:rsid w:val="009170D4"/>
    <w:rsid w:val="0091787E"/>
    <w:rsid w:val="009215D4"/>
    <w:rsid w:val="00921BAF"/>
    <w:rsid w:val="00923E36"/>
    <w:rsid w:val="00924CC7"/>
    <w:rsid w:val="009267E2"/>
    <w:rsid w:val="009309E7"/>
    <w:rsid w:val="009311FC"/>
    <w:rsid w:val="00932B22"/>
    <w:rsid w:val="00935D6B"/>
    <w:rsid w:val="00937598"/>
    <w:rsid w:val="00937742"/>
    <w:rsid w:val="009379C1"/>
    <w:rsid w:val="00940D76"/>
    <w:rsid w:val="00941122"/>
    <w:rsid w:val="0094152A"/>
    <w:rsid w:val="0094231E"/>
    <w:rsid w:val="0094349A"/>
    <w:rsid w:val="00944A0F"/>
    <w:rsid w:val="00945E72"/>
    <w:rsid w:val="0094623F"/>
    <w:rsid w:val="0095088E"/>
    <w:rsid w:val="00952F24"/>
    <w:rsid w:val="00953C76"/>
    <w:rsid w:val="00954613"/>
    <w:rsid w:val="00954C81"/>
    <w:rsid w:val="00954CF4"/>
    <w:rsid w:val="0095576D"/>
    <w:rsid w:val="0095630F"/>
    <w:rsid w:val="00957A7D"/>
    <w:rsid w:val="00960BB1"/>
    <w:rsid w:val="00962468"/>
    <w:rsid w:val="0096285A"/>
    <w:rsid w:val="00963326"/>
    <w:rsid w:val="00963670"/>
    <w:rsid w:val="00963B00"/>
    <w:rsid w:val="00963CD8"/>
    <w:rsid w:val="00964988"/>
    <w:rsid w:val="00965636"/>
    <w:rsid w:val="00966102"/>
    <w:rsid w:val="0096712D"/>
    <w:rsid w:val="0096781C"/>
    <w:rsid w:val="009702BB"/>
    <w:rsid w:val="00970A65"/>
    <w:rsid w:val="00971339"/>
    <w:rsid w:val="00971AF0"/>
    <w:rsid w:val="00974112"/>
    <w:rsid w:val="009747E2"/>
    <w:rsid w:val="00975554"/>
    <w:rsid w:val="009758E9"/>
    <w:rsid w:val="00975A83"/>
    <w:rsid w:val="00982CD2"/>
    <w:rsid w:val="00982F0B"/>
    <w:rsid w:val="0098341B"/>
    <w:rsid w:val="00983AA3"/>
    <w:rsid w:val="00984160"/>
    <w:rsid w:val="00986F76"/>
    <w:rsid w:val="009903BC"/>
    <w:rsid w:val="00991788"/>
    <w:rsid w:val="00991BB9"/>
    <w:rsid w:val="00993CE0"/>
    <w:rsid w:val="009948C7"/>
    <w:rsid w:val="00995929"/>
    <w:rsid w:val="009968CD"/>
    <w:rsid w:val="009A10F3"/>
    <w:rsid w:val="009A24BA"/>
    <w:rsid w:val="009A261B"/>
    <w:rsid w:val="009A3AEB"/>
    <w:rsid w:val="009A5826"/>
    <w:rsid w:val="009B15FC"/>
    <w:rsid w:val="009B225E"/>
    <w:rsid w:val="009B4241"/>
    <w:rsid w:val="009B4DCE"/>
    <w:rsid w:val="009B5FAC"/>
    <w:rsid w:val="009B75A6"/>
    <w:rsid w:val="009B7C07"/>
    <w:rsid w:val="009B7F16"/>
    <w:rsid w:val="009C09D0"/>
    <w:rsid w:val="009C140D"/>
    <w:rsid w:val="009C2A8E"/>
    <w:rsid w:val="009C4267"/>
    <w:rsid w:val="009C4333"/>
    <w:rsid w:val="009C5AF6"/>
    <w:rsid w:val="009C61D4"/>
    <w:rsid w:val="009C62D4"/>
    <w:rsid w:val="009C69C8"/>
    <w:rsid w:val="009C7771"/>
    <w:rsid w:val="009D0171"/>
    <w:rsid w:val="009D2064"/>
    <w:rsid w:val="009D4515"/>
    <w:rsid w:val="009D5303"/>
    <w:rsid w:val="009D7C4E"/>
    <w:rsid w:val="009D7CA1"/>
    <w:rsid w:val="009E036F"/>
    <w:rsid w:val="009E03CA"/>
    <w:rsid w:val="009E197D"/>
    <w:rsid w:val="009E1C4F"/>
    <w:rsid w:val="009E1ED7"/>
    <w:rsid w:val="009E2351"/>
    <w:rsid w:val="009E23A7"/>
    <w:rsid w:val="009E2D24"/>
    <w:rsid w:val="009E2E98"/>
    <w:rsid w:val="009E32FB"/>
    <w:rsid w:val="009E3B9F"/>
    <w:rsid w:val="009E4B40"/>
    <w:rsid w:val="009E6E08"/>
    <w:rsid w:val="009F05FB"/>
    <w:rsid w:val="009F068D"/>
    <w:rsid w:val="009F10D9"/>
    <w:rsid w:val="009F1FF5"/>
    <w:rsid w:val="009F22C0"/>
    <w:rsid w:val="009F353D"/>
    <w:rsid w:val="009F3853"/>
    <w:rsid w:val="009F4170"/>
    <w:rsid w:val="009F4B55"/>
    <w:rsid w:val="009F51B3"/>
    <w:rsid w:val="009F5FB3"/>
    <w:rsid w:val="009F7711"/>
    <w:rsid w:val="00A0131E"/>
    <w:rsid w:val="00A02528"/>
    <w:rsid w:val="00A04640"/>
    <w:rsid w:val="00A04CC9"/>
    <w:rsid w:val="00A05E87"/>
    <w:rsid w:val="00A0601E"/>
    <w:rsid w:val="00A069C2"/>
    <w:rsid w:val="00A072AB"/>
    <w:rsid w:val="00A07866"/>
    <w:rsid w:val="00A07D55"/>
    <w:rsid w:val="00A07DA2"/>
    <w:rsid w:val="00A10092"/>
    <w:rsid w:val="00A109F1"/>
    <w:rsid w:val="00A130DE"/>
    <w:rsid w:val="00A139A8"/>
    <w:rsid w:val="00A13A74"/>
    <w:rsid w:val="00A140A9"/>
    <w:rsid w:val="00A15244"/>
    <w:rsid w:val="00A1548F"/>
    <w:rsid w:val="00A17A8F"/>
    <w:rsid w:val="00A206D4"/>
    <w:rsid w:val="00A2296C"/>
    <w:rsid w:val="00A23290"/>
    <w:rsid w:val="00A30E86"/>
    <w:rsid w:val="00A31322"/>
    <w:rsid w:val="00A3139E"/>
    <w:rsid w:val="00A32CCF"/>
    <w:rsid w:val="00A32F20"/>
    <w:rsid w:val="00A33312"/>
    <w:rsid w:val="00A345F6"/>
    <w:rsid w:val="00A3575D"/>
    <w:rsid w:val="00A35849"/>
    <w:rsid w:val="00A36739"/>
    <w:rsid w:val="00A3784E"/>
    <w:rsid w:val="00A404CE"/>
    <w:rsid w:val="00A40D8A"/>
    <w:rsid w:val="00A41363"/>
    <w:rsid w:val="00A415F1"/>
    <w:rsid w:val="00A42060"/>
    <w:rsid w:val="00A4211B"/>
    <w:rsid w:val="00A42539"/>
    <w:rsid w:val="00A425F2"/>
    <w:rsid w:val="00A42BD1"/>
    <w:rsid w:val="00A43077"/>
    <w:rsid w:val="00A43E5C"/>
    <w:rsid w:val="00A442D5"/>
    <w:rsid w:val="00A443E2"/>
    <w:rsid w:val="00A469A5"/>
    <w:rsid w:val="00A469B5"/>
    <w:rsid w:val="00A47BB9"/>
    <w:rsid w:val="00A50E63"/>
    <w:rsid w:val="00A53433"/>
    <w:rsid w:val="00A536F6"/>
    <w:rsid w:val="00A54226"/>
    <w:rsid w:val="00A55484"/>
    <w:rsid w:val="00A56296"/>
    <w:rsid w:val="00A56583"/>
    <w:rsid w:val="00A56D64"/>
    <w:rsid w:val="00A62C6D"/>
    <w:rsid w:val="00A636DF"/>
    <w:rsid w:val="00A63742"/>
    <w:rsid w:val="00A65AF6"/>
    <w:rsid w:val="00A65D78"/>
    <w:rsid w:val="00A66E99"/>
    <w:rsid w:val="00A70137"/>
    <w:rsid w:val="00A70AD0"/>
    <w:rsid w:val="00A70B62"/>
    <w:rsid w:val="00A71B6B"/>
    <w:rsid w:val="00A75069"/>
    <w:rsid w:val="00A770AA"/>
    <w:rsid w:val="00A77227"/>
    <w:rsid w:val="00A7745B"/>
    <w:rsid w:val="00A81B17"/>
    <w:rsid w:val="00A835B8"/>
    <w:rsid w:val="00A84C3B"/>
    <w:rsid w:val="00A84D18"/>
    <w:rsid w:val="00A8547C"/>
    <w:rsid w:val="00A85853"/>
    <w:rsid w:val="00A85EE1"/>
    <w:rsid w:val="00A86B7A"/>
    <w:rsid w:val="00A90086"/>
    <w:rsid w:val="00A90B51"/>
    <w:rsid w:val="00A90BFA"/>
    <w:rsid w:val="00A926E5"/>
    <w:rsid w:val="00A92B6B"/>
    <w:rsid w:val="00A972FB"/>
    <w:rsid w:val="00A97926"/>
    <w:rsid w:val="00AA0E2C"/>
    <w:rsid w:val="00AA3404"/>
    <w:rsid w:val="00AA3F68"/>
    <w:rsid w:val="00AA4AE9"/>
    <w:rsid w:val="00AA6BBE"/>
    <w:rsid w:val="00AA769D"/>
    <w:rsid w:val="00AA7C6D"/>
    <w:rsid w:val="00AA7FB4"/>
    <w:rsid w:val="00AB0E8D"/>
    <w:rsid w:val="00AB0EF6"/>
    <w:rsid w:val="00AB2046"/>
    <w:rsid w:val="00AB2FA1"/>
    <w:rsid w:val="00AB3D10"/>
    <w:rsid w:val="00AB4D4E"/>
    <w:rsid w:val="00AB57A5"/>
    <w:rsid w:val="00AB76C9"/>
    <w:rsid w:val="00AC026B"/>
    <w:rsid w:val="00AC0707"/>
    <w:rsid w:val="00AC07F1"/>
    <w:rsid w:val="00AC0FC5"/>
    <w:rsid w:val="00AC1A27"/>
    <w:rsid w:val="00AC1AA8"/>
    <w:rsid w:val="00AC2023"/>
    <w:rsid w:val="00AC3616"/>
    <w:rsid w:val="00AC36F4"/>
    <w:rsid w:val="00AC3E5E"/>
    <w:rsid w:val="00AC40C5"/>
    <w:rsid w:val="00AC432D"/>
    <w:rsid w:val="00AD0339"/>
    <w:rsid w:val="00AD061F"/>
    <w:rsid w:val="00AD0791"/>
    <w:rsid w:val="00AD1009"/>
    <w:rsid w:val="00AD654D"/>
    <w:rsid w:val="00AD6EDA"/>
    <w:rsid w:val="00AD73C8"/>
    <w:rsid w:val="00AD7C3F"/>
    <w:rsid w:val="00AE003E"/>
    <w:rsid w:val="00AE0072"/>
    <w:rsid w:val="00AE0327"/>
    <w:rsid w:val="00AE1FE1"/>
    <w:rsid w:val="00AE21D6"/>
    <w:rsid w:val="00AE261F"/>
    <w:rsid w:val="00AE2832"/>
    <w:rsid w:val="00AE29DF"/>
    <w:rsid w:val="00AE2ABA"/>
    <w:rsid w:val="00AE353E"/>
    <w:rsid w:val="00AE3D86"/>
    <w:rsid w:val="00AE446D"/>
    <w:rsid w:val="00AF0074"/>
    <w:rsid w:val="00AF06A5"/>
    <w:rsid w:val="00AF2275"/>
    <w:rsid w:val="00AF33B1"/>
    <w:rsid w:val="00AF64F0"/>
    <w:rsid w:val="00AF6896"/>
    <w:rsid w:val="00AF6B56"/>
    <w:rsid w:val="00AF7348"/>
    <w:rsid w:val="00B02238"/>
    <w:rsid w:val="00B022EA"/>
    <w:rsid w:val="00B03DDC"/>
    <w:rsid w:val="00B03FCA"/>
    <w:rsid w:val="00B0407F"/>
    <w:rsid w:val="00B0533A"/>
    <w:rsid w:val="00B0577F"/>
    <w:rsid w:val="00B060AA"/>
    <w:rsid w:val="00B06AAE"/>
    <w:rsid w:val="00B07E6C"/>
    <w:rsid w:val="00B10129"/>
    <w:rsid w:val="00B10AA0"/>
    <w:rsid w:val="00B11DBA"/>
    <w:rsid w:val="00B11FD3"/>
    <w:rsid w:val="00B1407E"/>
    <w:rsid w:val="00B14EFC"/>
    <w:rsid w:val="00B231F4"/>
    <w:rsid w:val="00B23ADF"/>
    <w:rsid w:val="00B255F8"/>
    <w:rsid w:val="00B26E54"/>
    <w:rsid w:val="00B31432"/>
    <w:rsid w:val="00B31DB2"/>
    <w:rsid w:val="00B3260F"/>
    <w:rsid w:val="00B338FD"/>
    <w:rsid w:val="00B3569F"/>
    <w:rsid w:val="00B36215"/>
    <w:rsid w:val="00B36A26"/>
    <w:rsid w:val="00B37B6B"/>
    <w:rsid w:val="00B37D6D"/>
    <w:rsid w:val="00B40D56"/>
    <w:rsid w:val="00B40F8F"/>
    <w:rsid w:val="00B4122C"/>
    <w:rsid w:val="00B414B3"/>
    <w:rsid w:val="00B4255A"/>
    <w:rsid w:val="00B4295D"/>
    <w:rsid w:val="00B42AB5"/>
    <w:rsid w:val="00B443E0"/>
    <w:rsid w:val="00B4605D"/>
    <w:rsid w:val="00B47227"/>
    <w:rsid w:val="00B479A1"/>
    <w:rsid w:val="00B51F1C"/>
    <w:rsid w:val="00B542AE"/>
    <w:rsid w:val="00B55647"/>
    <w:rsid w:val="00B55B27"/>
    <w:rsid w:val="00B625AB"/>
    <w:rsid w:val="00B62A0F"/>
    <w:rsid w:val="00B63A18"/>
    <w:rsid w:val="00B65CD4"/>
    <w:rsid w:val="00B65F15"/>
    <w:rsid w:val="00B67F47"/>
    <w:rsid w:val="00B709EF"/>
    <w:rsid w:val="00B71B28"/>
    <w:rsid w:val="00B72474"/>
    <w:rsid w:val="00B747E2"/>
    <w:rsid w:val="00B74C67"/>
    <w:rsid w:val="00B772B0"/>
    <w:rsid w:val="00B77778"/>
    <w:rsid w:val="00B87517"/>
    <w:rsid w:val="00B90F8E"/>
    <w:rsid w:val="00B9442B"/>
    <w:rsid w:val="00B94561"/>
    <w:rsid w:val="00BA0C23"/>
    <w:rsid w:val="00BA10EE"/>
    <w:rsid w:val="00BA1375"/>
    <w:rsid w:val="00BA1423"/>
    <w:rsid w:val="00BA2F06"/>
    <w:rsid w:val="00BA48EA"/>
    <w:rsid w:val="00BA59E8"/>
    <w:rsid w:val="00BA5D70"/>
    <w:rsid w:val="00BA71DB"/>
    <w:rsid w:val="00BA7B2C"/>
    <w:rsid w:val="00BB00AF"/>
    <w:rsid w:val="00BB1825"/>
    <w:rsid w:val="00BB18C7"/>
    <w:rsid w:val="00BB3817"/>
    <w:rsid w:val="00BB3B87"/>
    <w:rsid w:val="00BB3DA9"/>
    <w:rsid w:val="00BB4F77"/>
    <w:rsid w:val="00BB511E"/>
    <w:rsid w:val="00BB51D6"/>
    <w:rsid w:val="00BB65EF"/>
    <w:rsid w:val="00BB7BBC"/>
    <w:rsid w:val="00BC1B12"/>
    <w:rsid w:val="00BC216D"/>
    <w:rsid w:val="00BC29A5"/>
    <w:rsid w:val="00BC2AD5"/>
    <w:rsid w:val="00BC35D8"/>
    <w:rsid w:val="00BC379C"/>
    <w:rsid w:val="00BC40D3"/>
    <w:rsid w:val="00BC50A3"/>
    <w:rsid w:val="00BC5FA1"/>
    <w:rsid w:val="00BC6358"/>
    <w:rsid w:val="00BC78E8"/>
    <w:rsid w:val="00BC7D38"/>
    <w:rsid w:val="00BC7D4C"/>
    <w:rsid w:val="00BD2B37"/>
    <w:rsid w:val="00BD4407"/>
    <w:rsid w:val="00BD4AE9"/>
    <w:rsid w:val="00BD58EC"/>
    <w:rsid w:val="00BD5D0B"/>
    <w:rsid w:val="00BD6687"/>
    <w:rsid w:val="00BD6B62"/>
    <w:rsid w:val="00BD76E1"/>
    <w:rsid w:val="00BD7B69"/>
    <w:rsid w:val="00BE042C"/>
    <w:rsid w:val="00BE0577"/>
    <w:rsid w:val="00BE1309"/>
    <w:rsid w:val="00BE1DEF"/>
    <w:rsid w:val="00BE45BA"/>
    <w:rsid w:val="00BE4B09"/>
    <w:rsid w:val="00BE61C2"/>
    <w:rsid w:val="00BE6787"/>
    <w:rsid w:val="00BF03A9"/>
    <w:rsid w:val="00BF0D40"/>
    <w:rsid w:val="00BF29B7"/>
    <w:rsid w:val="00BF32A9"/>
    <w:rsid w:val="00BF3721"/>
    <w:rsid w:val="00BF377E"/>
    <w:rsid w:val="00BF5CF4"/>
    <w:rsid w:val="00BF7873"/>
    <w:rsid w:val="00BF7F04"/>
    <w:rsid w:val="00C008DB"/>
    <w:rsid w:val="00C00E04"/>
    <w:rsid w:val="00C0109B"/>
    <w:rsid w:val="00C01375"/>
    <w:rsid w:val="00C0280F"/>
    <w:rsid w:val="00C05434"/>
    <w:rsid w:val="00C05AF7"/>
    <w:rsid w:val="00C0637B"/>
    <w:rsid w:val="00C066E9"/>
    <w:rsid w:val="00C07B21"/>
    <w:rsid w:val="00C11819"/>
    <w:rsid w:val="00C1208E"/>
    <w:rsid w:val="00C14084"/>
    <w:rsid w:val="00C14B38"/>
    <w:rsid w:val="00C179DA"/>
    <w:rsid w:val="00C20870"/>
    <w:rsid w:val="00C20CDC"/>
    <w:rsid w:val="00C20F56"/>
    <w:rsid w:val="00C212D5"/>
    <w:rsid w:val="00C21C73"/>
    <w:rsid w:val="00C22061"/>
    <w:rsid w:val="00C228BC"/>
    <w:rsid w:val="00C230D9"/>
    <w:rsid w:val="00C2323F"/>
    <w:rsid w:val="00C24207"/>
    <w:rsid w:val="00C255C2"/>
    <w:rsid w:val="00C25997"/>
    <w:rsid w:val="00C2610A"/>
    <w:rsid w:val="00C27EA4"/>
    <w:rsid w:val="00C30F27"/>
    <w:rsid w:val="00C324B7"/>
    <w:rsid w:val="00C34BE6"/>
    <w:rsid w:val="00C35727"/>
    <w:rsid w:val="00C3627F"/>
    <w:rsid w:val="00C369DA"/>
    <w:rsid w:val="00C40051"/>
    <w:rsid w:val="00C40CDD"/>
    <w:rsid w:val="00C40FBD"/>
    <w:rsid w:val="00C43841"/>
    <w:rsid w:val="00C43ADF"/>
    <w:rsid w:val="00C441A5"/>
    <w:rsid w:val="00C45FA4"/>
    <w:rsid w:val="00C46B9B"/>
    <w:rsid w:val="00C50857"/>
    <w:rsid w:val="00C513C4"/>
    <w:rsid w:val="00C51E25"/>
    <w:rsid w:val="00C5261D"/>
    <w:rsid w:val="00C53F0E"/>
    <w:rsid w:val="00C549B2"/>
    <w:rsid w:val="00C5501B"/>
    <w:rsid w:val="00C55CA8"/>
    <w:rsid w:val="00C560D4"/>
    <w:rsid w:val="00C5644E"/>
    <w:rsid w:val="00C576D3"/>
    <w:rsid w:val="00C61E17"/>
    <w:rsid w:val="00C62D26"/>
    <w:rsid w:val="00C63A06"/>
    <w:rsid w:val="00C649F1"/>
    <w:rsid w:val="00C66A0A"/>
    <w:rsid w:val="00C66BD1"/>
    <w:rsid w:val="00C73607"/>
    <w:rsid w:val="00C743DA"/>
    <w:rsid w:val="00C7567D"/>
    <w:rsid w:val="00C75700"/>
    <w:rsid w:val="00C76BB1"/>
    <w:rsid w:val="00C776D2"/>
    <w:rsid w:val="00C77F67"/>
    <w:rsid w:val="00C8092A"/>
    <w:rsid w:val="00C81933"/>
    <w:rsid w:val="00C82849"/>
    <w:rsid w:val="00C82BCD"/>
    <w:rsid w:val="00C83A63"/>
    <w:rsid w:val="00C83F7A"/>
    <w:rsid w:val="00C84516"/>
    <w:rsid w:val="00C85649"/>
    <w:rsid w:val="00C8764A"/>
    <w:rsid w:val="00C90275"/>
    <w:rsid w:val="00C921B2"/>
    <w:rsid w:val="00C92255"/>
    <w:rsid w:val="00C92453"/>
    <w:rsid w:val="00C92907"/>
    <w:rsid w:val="00C92E92"/>
    <w:rsid w:val="00C93274"/>
    <w:rsid w:val="00C9385E"/>
    <w:rsid w:val="00C947BC"/>
    <w:rsid w:val="00C94822"/>
    <w:rsid w:val="00C9687E"/>
    <w:rsid w:val="00C96C6B"/>
    <w:rsid w:val="00CA20B5"/>
    <w:rsid w:val="00CA25CE"/>
    <w:rsid w:val="00CA27E2"/>
    <w:rsid w:val="00CA2E05"/>
    <w:rsid w:val="00CA3AC1"/>
    <w:rsid w:val="00CA48C0"/>
    <w:rsid w:val="00CA4D2B"/>
    <w:rsid w:val="00CA69CA"/>
    <w:rsid w:val="00CA7505"/>
    <w:rsid w:val="00CB125A"/>
    <w:rsid w:val="00CB1462"/>
    <w:rsid w:val="00CB2426"/>
    <w:rsid w:val="00CB3303"/>
    <w:rsid w:val="00CB54FD"/>
    <w:rsid w:val="00CB77ED"/>
    <w:rsid w:val="00CC0026"/>
    <w:rsid w:val="00CC03A3"/>
    <w:rsid w:val="00CC4C51"/>
    <w:rsid w:val="00CC5384"/>
    <w:rsid w:val="00CD05C4"/>
    <w:rsid w:val="00CD1B1C"/>
    <w:rsid w:val="00CD279B"/>
    <w:rsid w:val="00CD3F5E"/>
    <w:rsid w:val="00CD411C"/>
    <w:rsid w:val="00CD4D08"/>
    <w:rsid w:val="00CD6551"/>
    <w:rsid w:val="00CD6D9A"/>
    <w:rsid w:val="00CD6DD8"/>
    <w:rsid w:val="00CD7AF4"/>
    <w:rsid w:val="00CE0AB7"/>
    <w:rsid w:val="00CE2088"/>
    <w:rsid w:val="00CE20BE"/>
    <w:rsid w:val="00CE2D45"/>
    <w:rsid w:val="00CE52C5"/>
    <w:rsid w:val="00CE56D0"/>
    <w:rsid w:val="00CE5985"/>
    <w:rsid w:val="00CF1302"/>
    <w:rsid w:val="00CF1976"/>
    <w:rsid w:val="00CF1E87"/>
    <w:rsid w:val="00CF59BF"/>
    <w:rsid w:val="00CF5D28"/>
    <w:rsid w:val="00CF5DB2"/>
    <w:rsid w:val="00CF5EA0"/>
    <w:rsid w:val="00D00127"/>
    <w:rsid w:val="00D00897"/>
    <w:rsid w:val="00D00D1B"/>
    <w:rsid w:val="00D0434A"/>
    <w:rsid w:val="00D044F1"/>
    <w:rsid w:val="00D054FC"/>
    <w:rsid w:val="00D05881"/>
    <w:rsid w:val="00D05A4D"/>
    <w:rsid w:val="00D05D1D"/>
    <w:rsid w:val="00D05D78"/>
    <w:rsid w:val="00D061BD"/>
    <w:rsid w:val="00D0663C"/>
    <w:rsid w:val="00D07798"/>
    <w:rsid w:val="00D07860"/>
    <w:rsid w:val="00D0796C"/>
    <w:rsid w:val="00D108A1"/>
    <w:rsid w:val="00D10BA9"/>
    <w:rsid w:val="00D12151"/>
    <w:rsid w:val="00D12932"/>
    <w:rsid w:val="00D134DC"/>
    <w:rsid w:val="00D13DB5"/>
    <w:rsid w:val="00D14F4D"/>
    <w:rsid w:val="00D15AE7"/>
    <w:rsid w:val="00D15F53"/>
    <w:rsid w:val="00D16C36"/>
    <w:rsid w:val="00D1741B"/>
    <w:rsid w:val="00D202E5"/>
    <w:rsid w:val="00D20C5C"/>
    <w:rsid w:val="00D213F8"/>
    <w:rsid w:val="00D21569"/>
    <w:rsid w:val="00D220C7"/>
    <w:rsid w:val="00D23955"/>
    <w:rsid w:val="00D2508F"/>
    <w:rsid w:val="00D256AC"/>
    <w:rsid w:val="00D25D50"/>
    <w:rsid w:val="00D26C49"/>
    <w:rsid w:val="00D26E47"/>
    <w:rsid w:val="00D2794F"/>
    <w:rsid w:val="00D30668"/>
    <w:rsid w:val="00D326F3"/>
    <w:rsid w:val="00D334FD"/>
    <w:rsid w:val="00D33615"/>
    <w:rsid w:val="00D3489E"/>
    <w:rsid w:val="00D34D34"/>
    <w:rsid w:val="00D35860"/>
    <w:rsid w:val="00D36685"/>
    <w:rsid w:val="00D40767"/>
    <w:rsid w:val="00D43264"/>
    <w:rsid w:val="00D445DA"/>
    <w:rsid w:val="00D44CCE"/>
    <w:rsid w:val="00D44D42"/>
    <w:rsid w:val="00D46521"/>
    <w:rsid w:val="00D4730F"/>
    <w:rsid w:val="00D47BE0"/>
    <w:rsid w:val="00D50345"/>
    <w:rsid w:val="00D50B72"/>
    <w:rsid w:val="00D524FA"/>
    <w:rsid w:val="00D531B5"/>
    <w:rsid w:val="00D53C89"/>
    <w:rsid w:val="00D5424B"/>
    <w:rsid w:val="00D54459"/>
    <w:rsid w:val="00D54D4F"/>
    <w:rsid w:val="00D558F3"/>
    <w:rsid w:val="00D565C4"/>
    <w:rsid w:val="00D56B5E"/>
    <w:rsid w:val="00D57D6F"/>
    <w:rsid w:val="00D61AFE"/>
    <w:rsid w:val="00D621A9"/>
    <w:rsid w:val="00D63081"/>
    <w:rsid w:val="00D6366B"/>
    <w:rsid w:val="00D65294"/>
    <w:rsid w:val="00D65AC9"/>
    <w:rsid w:val="00D65F68"/>
    <w:rsid w:val="00D66AD6"/>
    <w:rsid w:val="00D71C03"/>
    <w:rsid w:val="00D74E92"/>
    <w:rsid w:val="00D75B76"/>
    <w:rsid w:val="00D75CDF"/>
    <w:rsid w:val="00D81536"/>
    <w:rsid w:val="00D81AF9"/>
    <w:rsid w:val="00D8217A"/>
    <w:rsid w:val="00D82D7D"/>
    <w:rsid w:val="00D8446C"/>
    <w:rsid w:val="00D848E4"/>
    <w:rsid w:val="00D8536B"/>
    <w:rsid w:val="00D854C9"/>
    <w:rsid w:val="00D86068"/>
    <w:rsid w:val="00D8754B"/>
    <w:rsid w:val="00D87856"/>
    <w:rsid w:val="00D8794F"/>
    <w:rsid w:val="00D87C3F"/>
    <w:rsid w:val="00D87ECA"/>
    <w:rsid w:val="00D87FED"/>
    <w:rsid w:val="00D90AB8"/>
    <w:rsid w:val="00D91183"/>
    <w:rsid w:val="00D91623"/>
    <w:rsid w:val="00D92DD4"/>
    <w:rsid w:val="00D970C1"/>
    <w:rsid w:val="00D975E0"/>
    <w:rsid w:val="00D97982"/>
    <w:rsid w:val="00D97D93"/>
    <w:rsid w:val="00DA0173"/>
    <w:rsid w:val="00DA18DB"/>
    <w:rsid w:val="00DA25BF"/>
    <w:rsid w:val="00DA3977"/>
    <w:rsid w:val="00DA480A"/>
    <w:rsid w:val="00DA5E0F"/>
    <w:rsid w:val="00DA7913"/>
    <w:rsid w:val="00DA7E2F"/>
    <w:rsid w:val="00DB1153"/>
    <w:rsid w:val="00DB3B1D"/>
    <w:rsid w:val="00DB4122"/>
    <w:rsid w:val="00DB4163"/>
    <w:rsid w:val="00DB46F4"/>
    <w:rsid w:val="00DB4A54"/>
    <w:rsid w:val="00DB4AF6"/>
    <w:rsid w:val="00DB571E"/>
    <w:rsid w:val="00DB79C6"/>
    <w:rsid w:val="00DB7C7B"/>
    <w:rsid w:val="00DC0FBD"/>
    <w:rsid w:val="00DC3485"/>
    <w:rsid w:val="00DC3872"/>
    <w:rsid w:val="00DC4DDF"/>
    <w:rsid w:val="00DC5779"/>
    <w:rsid w:val="00DC600D"/>
    <w:rsid w:val="00DC61DA"/>
    <w:rsid w:val="00DD01C1"/>
    <w:rsid w:val="00DD0641"/>
    <w:rsid w:val="00DD154C"/>
    <w:rsid w:val="00DD17CD"/>
    <w:rsid w:val="00DD39CF"/>
    <w:rsid w:val="00DD5038"/>
    <w:rsid w:val="00DD6DA8"/>
    <w:rsid w:val="00DD6DB0"/>
    <w:rsid w:val="00DE032A"/>
    <w:rsid w:val="00DE311F"/>
    <w:rsid w:val="00DE40A7"/>
    <w:rsid w:val="00DE68D9"/>
    <w:rsid w:val="00DE6EDA"/>
    <w:rsid w:val="00DE79FC"/>
    <w:rsid w:val="00DF0517"/>
    <w:rsid w:val="00DF090B"/>
    <w:rsid w:val="00DF3197"/>
    <w:rsid w:val="00DF57E7"/>
    <w:rsid w:val="00DF65FB"/>
    <w:rsid w:val="00DF785B"/>
    <w:rsid w:val="00E01BDF"/>
    <w:rsid w:val="00E03959"/>
    <w:rsid w:val="00E04727"/>
    <w:rsid w:val="00E04FDD"/>
    <w:rsid w:val="00E079D0"/>
    <w:rsid w:val="00E07DAD"/>
    <w:rsid w:val="00E107E3"/>
    <w:rsid w:val="00E13897"/>
    <w:rsid w:val="00E158B9"/>
    <w:rsid w:val="00E1599F"/>
    <w:rsid w:val="00E17569"/>
    <w:rsid w:val="00E2002B"/>
    <w:rsid w:val="00E208C7"/>
    <w:rsid w:val="00E226B7"/>
    <w:rsid w:val="00E2274D"/>
    <w:rsid w:val="00E22906"/>
    <w:rsid w:val="00E24F92"/>
    <w:rsid w:val="00E27BE5"/>
    <w:rsid w:val="00E30D50"/>
    <w:rsid w:val="00E30F5E"/>
    <w:rsid w:val="00E32A58"/>
    <w:rsid w:val="00E332BD"/>
    <w:rsid w:val="00E339AB"/>
    <w:rsid w:val="00E33B51"/>
    <w:rsid w:val="00E34009"/>
    <w:rsid w:val="00E343DB"/>
    <w:rsid w:val="00E35171"/>
    <w:rsid w:val="00E35A5F"/>
    <w:rsid w:val="00E401DE"/>
    <w:rsid w:val="00E405ED"/>
    <w:rsid w:val="00E41471"/>
    <w:rsid w:val="00E42177"/>
    <w:rsid w:val="00E423D7"/>
    <w:rsid w:val="00E42464"/>
    <w:rsid w:val="00E44016"/>
    <w:rsid w:val="00E44F98"/>
    <w:rsid w:val="00E475F0"/>
    <w:rsid w:val="00E50AFE"/>
    <w:rsid w:val="00E50D60"/>
    <w:rsid w:val="00E51388"/>
    <w:rsid w:val="00E530E7"/>
    <w:rsid w:val="00E531EC"/>
    <w:rsid w:val="00E53F06"/>
    <w:rsid w:val="00E53FC1"/>
    <w:rsid w:val="00E54F3F"/>
    <w:rsid w:val="00E56FB0"/>
    <w:rsid w:val="00E60763"/>
    <w:rsid w:val="00E6097B"/>
    <w:rsid w:val="00E60A5E"/>
    <w:rsid w:val="00E61282"/>
    <w:rsid w:val="00E6214E"/>
    <w:rsid w:val="00E6224C"/>
    <w:rsid w:val="00E62A23"/>
    <w:rsid w:val="00E64A30"/>
    <w:rsid w:val="00E64E21"/>
    <w:rsid w:val="00E6571E"/>
    <w:rsid w:val="00E65E7B"/>
    <w:rsid w:val="00E71B6C"/>
    <w:rsid w:val="00E71C4B"/>
    <w:rsid w:val="00E71FC0"/>
    <w:rsid w:val="00E72823"/>
    <w:rsid w:val="00E72CB5"/>
    <w:rsid w:val="00E72E9C"/>
    <w:rsid w:val="00E76EFC"/>
    <w:rsid w:val="00E77240"/>
    <w:rsid w:val="00E77521"/>
    <w:rsid w:val="00E7782E"/>
    <w:rsid w:val="00E77B21"/>
    <w:rsid w:val="00E81C48"/>
    <w:rsid w:val="00E8242E"/>
    <w:rsid w:val="00E82B0F"/>
    <w:rsid w:val="00E8387B"/>
    <w:rsid w:val="00E83C2E"/>
    <w:rsid w:val="00E8444C"/>
    <w:rsid w:val="00E8530B"/>
    <w:rsid w:val="00E85392"/>
    <w:rsid w:val="00E8556C"/>
    <w:rsid w:val="00E858C6"/>
    <w:rsid w:val="00E85D81"/>
    <w:rsid w:val="00E86630"/>
    <w:rsid w:val="00E909FF"/>
    <w:rsid w:val="00E90D9F"/>
    <w:rsid w:val="00E922B3"/>
    <w:rsid w:val="00E92315"/>
    <w:rsid w:val="00E9365A"/>
    <w:rsid w:val="00E936D9"/>
    <w:rsid w:val="00E96877"/>
    <w:rsid w:val="00E9718E"/>
    <w:rsid w:val="00EA032F"/>
    <w:rsid w:val="00EA0E83"/>
    <w:rsid w:val="00EA49A2"/>
    <w:rsid w:val="00EA73A4"/>
    <w:rsid w:val="00EA7B31"/>
    <w:rsid w:val="00EB0497"/>
    <w:rsid w:val="00EB1177"/>
    <w:rsid w:val="00EB11F9"/>
    <w:rsid w:val="00EB19FB"/>
    <w:rsid w:val="00EB542A"/>
    <w:rsid w:val="00EB63C4"/>
    <w:rsid w:val="00EC0944"/>
    <w:rsid w:val="00EC1356"/>
    <w:rsid w:val="00EC21DD"/>
    <w:rsid w:val="00EC23C9"/>
    <w:rsid w:val="00EC50C7"/>
    <w:rsid w:val="00EC66A9"/>
    <w:rsid w:val="00EC69B5"/>
    <w:rsid w:val="00ED0063"/>
    <w:rsid w:val="00ED06C1"/>
    <w:rsid w:val="00ED0FF1"/>
    <w:rsid w:val="00ED138C"/>
    <w:rsid w:val="00ED40E0"/>
    <w:rsid w:val="00ED572D"/>
    <w:rsid w:val="00ED74A7"/>
    <w:rsid w:val="00ED76BE"/>
    <w:rsid w:val="00EE0CDF"/>
    <w:rsid w:val="00EE33AE"/>
    <w:rsid w:val="00EE477F"/>
    <w:rsid w:val="00EE7101"/>
    <w:rsid w:val="00EE7817"/>
    <w:rsid w:val="00EF2870"/>
    <w:rsid w:val="00EF3102"/>
    <w:rsid w:val="00EF3F8A"/>
    <w:rsid w:val="00EF62A2"/>
    <w:rsid w:val="00EF721A"/>
    <w:rsid w:val="00F00131"/>
    <w:rsid w:val="00F0142E"/>
    <w:rsid w:val="00F01FED"/>
    <w:rsid w:val="00F02596"/>
    <w:rsid w:val="00F0573D"/>
    <w:rsid w:val="00F05FDF"/>
    <w:rsid w:val="00F061B8"/>
    <w:rsid w:val="00F070EC"/>
    <w:rsid w:val="00F07683"/>
    <w:rsid w:val="00F10B66"/>
    <w:rsid w:val="00F11B9F"/>
    <w:rsid w:val="00F11F3A"/>
    <w:rsid w:val="00F14987"/>
    <w:rsid w:val="00F14C0E"/>
    <w:rsid w:val="00F14E84"/>
    <w:rsid w:val="00F154C9"/>
    <w:rsid w:val="00F16D82"/>
    <w:rsid w:val="00F170EE"/>
    <w:rsid w:val="00F218DD"/>
    <w:rsid w:val="00F22025"/>
    <w:rsid w:val="00F2258D"/>
    <w:rsid w:val="00F24641"/>
    <w:rsid w:val="00F24A16"/>
    <w:rsid w:val="00F25C4D"/>
    <w:rsid w:val="00F26237"/>
    <w:rsid w:val="00F2641A"/>
    <w:rsid w:val="00F2715D"/>
    <w:rsid w:val="00F27417"/>
    <w:rsid w:val="00F27639"/>
    <w:rsid w:val="00F2772A"/>
    <w:rsid w:val="00F3032C"/>
    <w:rsid w:val="00F30C9A"/>
    <w:rsid w:val="00F32C7A"/>
    <w:rsid w:val="00F32D7B"/>
    <w:rsid w:val="00F33792"/>
    <w:rsid w:val="00F34316"/>
    <w:rsid w:val="00F34CEA"/>
    <w:rsid w:val="00F34DEA"/>
    <w:rsid w:val="00F375F0"/>
    <w:rsid w:val="00F37FB5"/>
    <w:rsid w:val="00F40319"/>
    <w:rsid w:val="00F411CC"/>
    <w:rsid w:val="00F419C2"/>
    <w:rsid w:val="00F41A1D"/>
    <w:rsid w:val="00F42104"/>
    <w:rsid w:val="00F42176"/>
    <w:rsid w:val="00F42888"/>
    <w:rsid w:val="00F4588F"/>
    <w:rsid w:val="00F45C00"/>
    <w:rsid w:val="00F46643"/>
    <w:rsid w:val="00F46B35"/>
    <w:rsid w:val="00F46D04"/>
    <w:rsid w:val="00F478F8"/>
    <w:rsid w:val="00F509AD"/>
    <w:rsid w:val="00F51731"/>
    <w:rsid w:val="00F518E4"/>
    <w:rsid w:val="00F51F23"/>
    <w:rsid w:val="00F52298"/>
    <w:rsid w:val="00F5271C"/>
    <w:rsid w:val="00F53D13"/>
    <w:rsid w:val="00F5603A"/>
    <w:rsid w:val="00F57041"/>
    <w:rsid w:val="00F57AC3"/>
    <w:rsid w:val="00F62A45"/>
    <w:rsid w:val="00F63736"/>
    <w:rsid w:val="00F648A9"/>
    <w:rsid w:val="00F65447"/>
    <w:rsid w:val="00F6582B"/>
    <w:rsid w:val="00F65858"/>
    <w:rsid w:val="00F65859"/>
    <w:rsid w:val="00F71985"/>
    <w:rsid w:val="00F7218B"/>
    <w:rsid w:val="00F72AEA"/>
    <w:rsid w:val="00F72D47"/>
    <w:rsid w:val="00F72E6D"/>
    <w:rsid w:val="00F741D1"/>
    <w:rsid w:val="00F75BB3"/>
    <w:rsid w:val="00F76627"/>
    <w:rsid w:val="00F76949"/>
    <w:rsid w:val="00F76DC1"/>
    <w:rsid w:val="00F77B80"/>
    <w:rsid w:val="00F77C69"/>
    <w:rsid w:val="00F804F8"/>
    <w:rsid w:val="00F81C5E"/>
    <w:rsid w:val="00F82ACE"/>
    <w:rsid w:val="00F83F48"/>
    <w:rsid w:val="00F84274"/>
    <w:rsid w:val="00F84538"/>
    <w:rsid w:val="00F86931"/>
    <w:rsid w:val="00F86EE6"/>
    <w:rsid w:val="00F87DE9"/>
    <w:rsid w:val="00F93FB2"/>
    <w:rsid w:val="00F94CC7"/>
    <w:rsid w:val="00F9517F"/>
    <w:rsid w:val="00F96D2A"/>
    <w:rsid w:val="00F96E06"/>
    <w:rsid w:val="00FA00CE"/>
    <w:rsid w:val="00FA0138"/>
    <w:rsid w:val="00FA0758"/>
    <w:rsid w:val="00FA08B8"/>
    <w:rsid w:val="00FA13B6"/>
    <w:rsid w:val="00FA213C"/>
    <w:rsid w:val="00FA2533"/>
    <w:rsid w:val="00FA277D"/>
    <w:rsid w:val="00FA2B8E"/>
    <w:rsid w:val="00FA5298"/>
    <w:rsid w:val="00FA65E2"/>
    <w:rsid w:val="00FA6C4B"/>
    <w:rsid w:val="00FB1611"/>
    <w:rsid w:val="00FB1639"/>
    <w:rsid w:val="00FB3B36"/>
    <w:rsid w:val="00FB4AFD"/>
    <w:rsid w:val="00FB69E9"/>
    <w:rsid w:val="00FB7027"/>
    <w:rsid w:val="00FB7DFE"/>
    <w:rsid w:val="00FC1316"/>
    <w:rsid w:val="00FC4647"/>
    <w:rsid w:val="00FC5B43"/>
    <w:rsid w:val="00FC5C42"/>
    <w:rsid w:val="00FC6153"/>
    <w:rsid w:val="00FC6AED"/>
    <w:rsid w:val="00FC7722"/>
    <w:rsid w:val="00FD0833"/>
    <w:rsid w:val="00FD1404"/>
    <w:rsid w:val="00FD5356"/>
    <w:rsid w:val="00FD5E88"/>
    <w:rsid w:val="00FD625C"/>
    <w:rsid w:val="00FD6F05"/>
    <w:rsid w:val="00FE3258"/>
    <w:rsid w:val="00FE5870"/>
    <w:rsid w:val="00FE71AC"/>
    <w:rsid w:val="00FF0C54"/>
    <w:rsid w:val="00FF0D73"/>
    <w:rsid w:val="00FF2D9C"/>
    <w:rsid w:val="00FF3734"/>
    <w:rsid w:val="00FF3CF6"/>
    <w:rsid w:val="00FF4506"/>
    <w:rsid w:val="00FF4FDF"/>
    <w:rsid w:val="00FF781B"/>
    <w:rsid w:val="3BC927BB"/>
    <w:rsid w:val="64494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unhideWhenUsed="0"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ocked="1"/>
    <w:lsdException w:qFormat="1" w:unhideWhenUsed="0"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00" w:lineRule="auto"/>
      <w:ind w:firstLine="200" w:firstLineChars="200"/>
      <w:jc w:val="both"/>
    </w:pPr>
    <w:rPr>
      <w:rFonts w:ascii="Times New Roman" w:hAnsi="Times New Roman" w:eastAsia="宋体" w:cs="Times New Roman"/>
      <w:sz w:val="21"/>
      <w:szCs w:val="21"/>
      <w:lang w:val="en-US" w:eastAsia="zh-CN" w:bidi="ar-SA"/>
    </w:rPr>
  </w:style>
  <w:style w:type="paragraph" w:styleId="2">
    <w:name w:val="heading 1"/>
    <w:basedOn w:val="1"/>
    <w:next w:val="1"/>
    <w:link w:val="140"/>
    <w:qFormat/>
    <w:uiPriority w:val="0"/>
    <w:pPr>
      <w:keepNext/>
      <w:keepLines/>
      <w:pageBreakBefore/>
      <w:numPr>
        <w:ilvl w:val="0"/>
        <w:numId w:val="1"/>
      </w:numPr>
      <w:tabs>
        <w:tab w:val="clear" w:pos="432"/>
      </w:tabs>
      <w:spacing w:before="340" w:after="330" w:line="578" w:lineRule="auto"/>
      <w:ind w:left="0" w:firstLine="0" w:firstLineChars="0"/>
      <w:jc w:val="center"/>
      <w:outlineLvl w:val="0"/>
    </w:pPr>
    <w:rPr>
      <w:rFonts w:eastAsia="黑体"/>
      <w:b/>
      <w:bCs/>
      <w:sz w:val="28"/>
      <w:szCs w:val="44"/>
    </w:rPr>
  </w:style>
  <w:style w:type="paragraph" w:styleId="3">
    <w:name w:val="heading 2"/>
    <w:basedOn w:val="1"/>
    <w:next w:val="1"/>
    <w:link w:val="141"/>
    <w:qFormat/>
    <w:uiPriority w:val="0"/>
    <w:pPr>
      <w:keepLines/>
      <w:numPr>
        <w:ilvl w:val="1"/>
        <w:numId w:val="1"/>
      </w:numPr>
      <w:tabs>
        <w:tab w:val="left" w:pos="567"/>
      </w:tabs>
      <w:spacing w:before="240" w:after="120" w:line="240" w:lineRule="auto"/>
      <w:ind w:left="578" w:hanging="578" w:firstLineChars="0"/>
      <w:jc w:val="center"/>
      <w:outlineLvl w:val="1"/>
    </w:pPr>
    <w:rPr>
      <w:rFonts w:eastAsia="黑体"/>
      <w:bCs/>
      <w:sz w:val="28"/>
      <w:szCs w:val="28"/>
    </w:rPr>
  </w:style>
  <w:style w:type="paragraph" w:styleId="4">
    <w:name w:val="heading 3"/>
    <w:basedOn w:val="1"/>
    <w:next w:val="1"/>
    <w:link w:val="43"/>
    <w:qFormat/>
    <w:uiPriority w:val="0"/>
    <w:pPr>
      <w:keepLines/>
      <w:numPr>
        <w:ilvl w:val="2"/>
        <w:numId w:val="1"/>
      </w:numPr>
      <w:tabs>
        <w:tab w:val="clear" w:pos="1004"/>
      </w:tabs>
      <w:ind w:left="0" w:firstLine="0" w:firstLineChars="0"/>
      <w:outlineLvl w:val="2"/>
    </w:pPr>
    <w:rPr>
      <w:color w:val="000000"/>
      <w:sz w:val="24"/>
    </w:rPr>
  </w:style>
  <w:style w:type="paragraph" w:styleId="5">
    <w:name w:val="heading 4"/>
    <w:basedOn w:val="1"/>
    <w:next w:val="1"/>
    <w:link w:val="142"/>
    <w:qFormat/>
    <w:uiPriority w:val="0"/>
    <w:pPr>
      <w:keepNext/>
      <w:keepLines/>
      <w:numPr>
        <w:ilvl w:val="3"/>
        <w:numId w:val="1"/>
      </w:numPr>
      <w:spacing w:before="280" w:after="290" w:line="376" w:lineRule="auto"/>
      <w:ind w:firstLine="0" w:firstLineChars="0"/>
      <w:outlineLvl w:val="3"/>
    </w:pPr>
    <w:rPr>
      <w:rFonts w:ascii="Arial" w:hAnsi="Arial" w:eastAsia="黑体"/>
      <w:b/>
      <w:bCs/>
      <w:sz w:val="28"/>
      <w:szCs w:val="28"/>
    </w:rPr>
  </w:style>
  <w:style w:type="paragraph" w:styleId="6">
    <w:name w:val="heading 5"/>
    <w:basedOn w:val="1"/>
    <w:next w:val="1"/>
    <w:link w:val="143"/>
    <w:qFormat/>
    <w:uiPriority w:val="0"/>
    <w:pPr>
      <w:keepNext/>
      <w:keepLines/>
      <w:numPr>
        <w:ilvl w:val="4"/>
        <w:numId w:val="1"/>
      </w:numPr>
      <w:spacing w:before="280" w:after="290" w:line="376" w:lineRule="auto"/>
      <w:ind w:firstLine="0" w:firstLineChars="0"/>
      <w:outlineLvl w:val="4"/>
    </w:pPr>
    <w:rPr>
      <w:b/>
      <w:bCs/>
      <w:sz w:val="28"/>
      <w:szCs w:val="28"/>
    </w:rPr>
  </w:style>
  <w:style w:type="paragraph" w:styleId="7">
    <w:name w:val="heading 6"/>
    <w:basedOn w:val="1"/>
    <w:next w:val="1"/>
    <w:link w:val="144"/>
    <w:qFormat/>
    <w:uiPriority w:val="0"/>
    <w:pPr>
      <w:keepNext/>
      <w:keepLines/>
      <w:numPr>
        <w:ilvl w:val="5"/>
        <w:numId w:val="1"/>
      </w:numPr>
      <w:spacing w:before="240" w:after="64" w:line="320" w:lineRule="auto"/>
      <w:ind w:firstLine="0" w:firstLineChars="0"/>
      <w:outlineLvl w:val="5"/>
    </w:pPr>
    <w:rPr>
      <w:rFonts w:ascii="Arial" w:hAnsi="Arial" w:eastAsia="黑体"/>
      <w:b/>
      <w:bCs/>
      <w:sz w:val="24"/>
    </w:rPr>
  </w:style>
  <w:style w:type="paragraph" w:styleId="8">
    <w:name w:val="heading 7"/>
    <w:basedOn w:val="1"/>
    <w:next w:val="1"/>
    <w:link w:val="145"/>
    <w:qFormat/>
    <w:uiPriority w:val="0"/>
    <w:pPr>
      <w:keepNext/>
      <w:keepLines/>
      <w:numPr>
        <w:ilvl w:val="6"/>
        <w:numId w:val="1"/>
      </w:numPr>
      <w:spacing w:before="240" w:after="64" w:line="320" w:lineRule="auto"/>
      <w:ind w:firstLine="0" w:firstLineChars="0"/>
      <w:outlineLvl w:val="6"/>
    </w:pPr>
    <w:rPr>
      <w:b/>
      <w:bCs/>
      <w:sz w:val="24"/>
    </w:rPr>
  </w:style>
  <w:style w:type="paragraph" w:styleId="9">
    <w:name w:val="heading 8"/>
    <w:basedOn w:val="1"/>
    <w:next w:val="1"/>
    <w:link w:val="146"/>
    <w:qFormat/>
    <w:uiPriority w:val="0"/>
    <w:pPr>
      <w:keepNext/>
      <w:keepLines/>
      <w:numPr>
        <w:ilvl w:val="7"/>
        <w:numId w:val="1"/>
      </w:numPr>
      <w:spacing w:before="240" w:after="64" w:line="320" w:lineRule="auto"/>
      <w:ind w:firstLine="0" w:firstLineChars="0"/>
      <w:outlineLvl w:val="7"/>
    </w:pPr>
    <w:rPr>
      <w:rFonts w:ascii="Arial" w:hAnsi="Arial" w:eastAsia="黑体"/>
      <w:sz w:val="24"/>
    </w:rPr>
  </w:style>
  <w:style w:type="paragraph" w:styleId="10">
    <w:name w:val="heading 9"/>
    <w:basedOn w:val="1"/>
    <w:next w:val="1"/>
    <w:link w:val="147"/>
    <w:qFormat/>
    <w:uiPriority w:val="0"/>
    <w:pPr>
      <w:keepNext/>
      <w:keepLines/>
      <w:numPr>
        <w:ilvl w:val="8"/>
        <w:numId w:val="1"/>
      </w:numPr>
      <w:spacing w:before="240" w:after="64" w:line="320" w:lineRule="auto"/>
      <w:ind w:firstLine="0" w:firstLineChars="0"/>
      <w:outlineLvl w:val="8"/>
    </w:pPr>
    <w:rPr>
      <w:rFonts w:ascii="Arial" w:hAnsi="Arial" w:eastAsia="黑体"/>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149"/>
    <w:semiHidden/>
    <w:qFormat/>
    <w:uiPriority w:val="0"/>
    <w:rPr>
      <w:b/>
      <w:bCs/>
    </w:rPr>
  </w:style>
  <w:style w:type="paragraph" w:styleId="12">
    <w:name w:val="annotation text"/>
    <w:basedOn w:val="1"/>
    <w:link w:val="148"/>
    <w:semiHidden/>
    <w:qFormat/>
    <w:uiPriority w:val="0"/>
    <w:pPr>
      <w:jc w:val="left"/>
    </w:pPr>
  </w:style>
  <w:style w:type="paragraph" w:styleId="13">
    <w:name w:val="toc 7"/>
    <w:basedOn w:val="1"/>
    <w:next w:val="1"/>
    <w:semiHidden/>
    <w:qFormat/>
    <w:uiPriority w:val="0"/>
    <w:pPr>
      <w:ind w:left="2520" w:leftChars="1200"/>
    </w:pPr>
  </w:style>
  <w:style w:type="paragraph" w:styleId="14">
    <w:name w:val="Normal Indent"/>
    <w:basedOn w:val="1"/>
    <w:qFormat/>
    <w:uiPriority w:val="0"/>
    <w:pPr>
      <w:ind w:firstLine="420"/>
    </w:pPr>
    <w:rPr>
      <w:szCs w:val="20"/>
    </w:rPr>
  </w:style>
  <w:style w:type="paragraph" w:styleId="15">
    <w:name w:val="Document Map"/>
    <w:basedOn w:val="1"/>
    <w:link w:val="150"/>
    <w:semiHidden/>
    <w:qFormat/>
    <w:uiPriority w:val="0"/>
    <w:pPr>
      <w:shd w:val="clear" w:color="auto" w:fill="000080"/>
    </w:pPr>
  </w:style>
  <w:style w:type="paragraph" w:styleId="16">
    <w:name w:val="Body Text"/>
    <w:basedOn w:val="1"/>
    <w:link w:val="151"/>
    <w:qFormat/>
    <w:uiPriority w:val="0"/>
    <w:rPr>
      <w:rFonts w:ascii="楷体_GB2312" w:eastAsia="仿宋_GB2312"/>
      <w:sz w:val="24"/>
    </w:rPr>
  </w:style>
  <w:style w:type="paragraph" w:styleId="17">
    <w:name w:val="Body Text Indent"/>
    <w:basedOn w:val="1"/>
    <w:link w:val="152"/>
    <w:qFormat/>
    <w:uiPriority w:val="0"/>
    <w:pPr>
      <w:ind w:firstLine="420"/>
    </w:pPr>
    <w:rPr>
      <w:rFonts w:eastAsia="楷体_GB2312"/>
    </w:rPr>
  </w:style>
  <w:style w:type="paragraph" w:styleId="18">
    <w:name w:val="toc 5"/>
    <w:basedOn w:val="1"/>
    <w:next w:val="1"/>
    <w:semiHidden/>
    <w:qFormat/>
    <w:uiPriority w:val="0"/>
    <w:pPr>
      <w:ind w:left="1680" w:leftChars="800"/>
    </w:pPr>
  </w:style>
  <w:style w:type="paragraph" w:styleId="19">
    <w:name w:val="toc 3"/>
    <w:basedOn w:val="1"/>
    <w:next w:val="1"/>
    <w:semiHidden/>
    <w:qFormat/>
    <w:uiPriority w:val="0"/>
    <w:pPr>
      <w:ind w:left="840" w:leftChars="400"/>
    </w:pPr>
  </w:style>
  <w:style w:type="paragraph" w:styleId="20">
    <w:name w:val="Plain Text"/>
    <w:basedOn w:val="1"/>
    <w:link w:val="153"/>
    <w:qFormat/>
    <w:uiPriority w:val="0"/>
    <w:rPr>
      <w:rFonts w:ascii="宋体" w:hAnsi="Courier New"/>
      <w:szCs w:val="20"/>
    </w:rPr>
  </w:style>
  <w:style w:type="paragraph" w:styleId="21">
    <w:name w:val="toc 8"/>
    <w:basedOn w:val="1"/>
    <w:next w:val="1"/>
    <w:semiHidden/>
    <w:qFormat/>
    <w:uiPriority w:val="0"/>
    <w:pPr>
      <w:ind w:left="2940" w:leftChars="1400"/>
    </w:pPr>
  </w:style>
  <w:style w:type="paragraph" w:styleId="22">
    <w:name w:val="Date"/>
    <w:basedOn w:val="1"/>
    <w:next w:val="1"/>
    <w:link w:val="154"/>
    <w:qFormat/>
    <w:uiPriority w:val="0"/>
    <w:pPr>
      <w:ind w:left="100" w:leftChars="2500"/>
    </w:pPr>
  </w:style>
  <w:style w:type="paragraph" w:styleId="23">
    <w:name w:val="Body Text Indent 2"/>
    <w:basedOn w:val="1"/>
    <w:link w:val="155"/>
    <w:qFormat/>
    <w:uiPriority w:val="0"/>
    <w:pPr>
      <w:spacing w:after="120" w:line="480" w:lineRule="auto"/>
      <w:ind w:left="420" w:leftChars="200"/>
    </w:pPr>
  </w:style>
  <w:style w:type="paragraph" w:styleId="24">
    <w:name w:val="Balloon Text"/>
    <w:basedOn w:val="1"/>
    <w:link w:val="156"/>
    <w:semiHidden/>
    <w:qFormat/>
    <w:uiPriority w:val="0"/>
    <w:rPr>
      <w:sz w:val="18"/>
      <w:szCs w:val="18"/>
    </w:rPr>
  </w:style>
  <w:style w:type="paragraph" w:styleId="25">
    <w:name w:val="footer"/>
    <w:basedOn w:val="1"/>
    <w:link w:val="157"/>
    <w:qFormat/>
    <w:uiPriority w:val="0"/>
    <w:pPr>
      <w:tabs>
        <w:tab w:val="center" w:pos="4153"/>
        <w:tab w:val="right" w:pos="8306"/>
      </w:tabs>
      <w:jc w:val="left"/>
    </w:pPr>
    <w:rPr>
      <w:sz w:val="18"/>
      <w:szCs w:val="18"/>
    </w:rPr>
  </w:style>
  <w:style w:type="paragraph" w:styleId="26">
    <w:name w:val="header"/>
    <w:basedOn w:val="1"/>
    <w:link w:val="158"/>
    <w:qFormat/>
    <w:uiPriority w:val="0"/>
    <w:pPr>
      <w:pBdr>
        <w:bottom w:val="single" w:color="auto" w:sz="6" w:space="1"/>
      </w:pBdr>
      <w:tabs>
        <w:tab w:val="center" w:pos="4153"/>
        <w:tab w:val="right" w:pos="8306"/>
      </w:tabs>
      <w:jc w:val="center"/>
    </w:pPr>
    <w:rPr>
      <w:sz w:val="18"/>
      <w:szCs w:val="18"/>
    </w:rPr>
  </w:style>
  <w:style w:type="paragraph" w:styleId="27">
    <w:name w:val="toc 1"/>
    <w:basedOn w:val="1"/>
    <w:next w:val="1"/>
    <w:qFormat/>
    <w:uiPriority w:val="39"/>
    <w:pPr>
      <w:tabs>
        <w:tab w:val="right" w:leader="dot" w:pos="8302"/>
      </w:tabs>
      <w:spacing w:line="240" w:lineRule="auto"/>
      <w:ind w:firstLine="0" w:firstLineChars="0"/>
    </w:pPr>
    <w:rPr>
      <w:b/>
      <w:sz w:val="28"/>
      <w:szCs w:val="28"/>
    </w:rPr>
  </w:style>
  <w:style w:type="paragraph" w:styleId="28">
    <w:name w:val="toc 4"/>
    <w:basedOn w:val="1"/>
    <w:next w:val="1"/>
    <w:semiHidden/>
    <w:qFormat/>
    <w:uiPriority w:val="0"/>
    <w:pPr>
      <w:ind w:left="1260" w:leftChars="600"/>
    </w:pPr>
  </w:style>
  <w:style w:type="paragraph" w:styleId="29">
    <w:name w:val="toc 6"/>
    <w:basedOn w:val="1"/>
    <w:next w:val="1"/>
    <w:semiHidden/>
    <w:qFormat/>
    <w:uiPriority w:val="0"/>
    <w:pPr>
      <w:ind w:left="2100" w:leftChars="1000"/>
    </w:pPr>
  </w:style>
  <w:style w:type="paragraph" w:styleId="30">
    <w:name w:val="Body Text Indent 3"/>
    <w:basedOn w:val="1"/>
    <w:link w:val="159"/>
    <w:qFormat/>
    <w:uiPriority w:val="0"/>
    <w:pPr>
      <w:ind w:firstLine="435"/>
    </w:pPr>
    <w:rPr>
      <w:rFonts w:ascii="楷体_GB2312" w:eastAsia="仿宋_GB2312"/>
      <w:sz w:val="24"/>
    </w:rPr>
  </w:style>
  <w:style w:type="paragraph" w:styleId="31">
    <w:name w:val="table of figures"/>
    <w:basedOn w:val="1"/>
    <w:next w:val="1"/>
    <w:semiHidden/>
    <w:qFormat/>
    <w:uiPriority w:val="0"/>
    <w:pPr>
      <w:ind w:left="840" w:leftChars="200" w:hanging="420" w:hangingChars="200"/>
    </w:pPr>
  </w:style>
  <w:style w:type="paragraph" w:styleId="32">
    <w:name w:val="toc 2"/>
    <w:basedOn w:val="1"/>
    <w:next w:val="1"/>
    <w:qFormat/>
    <w:uiPriority w:val="39"/>
    <w:pPr>
      <w:tabs>
        <w:tab w:val="left" w:pos="900"/>
        <w:tab w:val="right" w:leader="dot" w:pos="8302"/>
      </w:tabs>
      <w:ind w:left="420" w:leftChars="200"/>
    </w:pPr>
  </w:style>
  <w:style w:type="paragraph" w:styleId="33">
    <w:name w:val="toc 9"/>
    <w:basedOn w:val="1"/>
    <w:next w:val="1"/>
    <w:semiHidden/>
    <w:uiPriority w:val="0"/>
    <w:pPr>
      <w:ind w:left="3360" w:leftChars="1600"/>
    </w:pPr>
  </w:style>
  <w:style w:type="paragraph" w:styleId="34">
    <w:name w:val="Normal (Web)"/>
    <w:basedOn w:val="1"/>
    <w:qFormat/>
    <w:uiPriority w:val="99"/>
    <w:pPr>
      <w:widowControl/>
      <w:spacing w:before="100" w:beforeAutospacing="1" w:after="100" w:afterAutospacing="1"/>
      <w:jc w:val="left"/>
    </w:pPr>
    <w:rPr>
      <w:rFonts w:ascii="宋体" w:hAnsi="宋体" w:cs="宋体"/>
      <w:sz w:val="24"/>
    </w:rPr>
  </w:style>
  <w:style w:type="character" w:styleId="36">
    <w:name w:val="page number"/>
    <w:qFormat/>
    <w:uiPriority w:val="0"/>
    <w:rPr>
      <w:rFonts w:cs="Times New Roman"/>
    </w:rPr>
  </w:style>
  <w:style w:type="character" w:styleId="37">
    <w:name w:val="FollowedHyperlink"/>
    <w:qFormat/>
    <w:uiPriority w:val="99"/>
    <w:rPr>
      <w:rFonts w:cs="Times New Roman"/>
      <w:color w:val="800080"/>
      <w:u w:val="single"/>
    </w:rPr>
  </w:style>
  <w:style w:type="character" w:styleId="38">
    <w:name w:val="Emphasis"/>
    <w:qFormat/>
    <w:locked/>
    <w:uiPriority w:val="0"/>
    <w:rPr>
      <w:i/>
      <w:iCs/>
    </w:rPr>
  </w:style>
  <w:style w:type="character" w:styleId="39">
    <w:name w:val="Hyperlink"/>
    <w:qFormat/>
    <w:uiPriority w:val="99"/>
    <w:rPr>
      <w:rFonts w:cs="Times New Roman"/>
      <w:color w:val="0000FF"/>
      <w:u w:val="single"/>
    </w:rPr>
  </w:style>
  <w:style w:type="character" w:styleId="40">
    <w:name w:val="annotation reference"/>
    <w:semiHidden/>
    <w:qFormat/>
    <w:uiPriority w:val="0"/>
    <w:rPr>
      <w:rFonts w:cs="Times New Roman"/>
      <w:sz w:val="21"/>
      <w:szCs w:val="21"/>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标题 3 Char"/>
    <w:link w:val="4"/>
    <w:qFormat/>
    <w:locked/>
    <w:uiPriority w:val="0"/>
    <w:rPr>
      <w:color w:val="000000"/>
      <w:sz w:val="24"/>
      <w:szCs w:val="21"/>
    </w:rPr>
  </w:style>
  <w:style w:type="paragraph" w:customStyle="1" w:styleId="44">
    <w:name w:val="Char Char1"/>
    <w:basedOn w:val="1"/>
    <w:qFormat/>
    <w:uiPriority w:val="0"/>
    <w:pPr>
      <w:widowControl/>
      <w:spacing w:after="160" w:line="240" w:lineRule="exact"/>
      <w:jc w:val="left"/>
    </w:pPr>
    <w:rPr>
      <w:rFonts w:ascii="Verdana" w:hAnsi="Verdana" w:eastAsia="仿宋_GB2312"/>
      <w:sz w:val="24"/>
      <w:szCs w:val="20"/>
      <w:lang w:eastAsia="en-US"/>
    </w:rPr>
  </w:style>
  <w:style w:type="character" w:customStyle="1" w:styleId="45">
    <w:name w:val="小五"/>
    <w:qFormat/>
    <w:uiPriority w:val="0"/>
    <w:rPr>
      <w:rFonts w:ascii="Times New Roman" w:hAnsi="Times New Roman" w:eastAsia="宋体"/>
      <w:sz w:val="18"/>
    </w:rPr>
  </w:style>
  <w:style w:type="character" w:customStyle="1" w:styleId="46">
    <w:name w:val="五号"/>
    <w:qFormat/>
    <w:uiPriority w:val="0"/>
    <w:rPr>
      <w:rFonts w:ascii="Times New Roman" w:hAnsi="Times New Roman" w:eastAsia="宋体"/>
      <w:sz w:val="21"/>
    </w:rPr>
  </w:style>
  <w:style w:type="character" w:customStyle="1" w:styleId="47">
    <w:name w:val="小四"/>
    <w:qFormat/>
    <w:uiPriority w:val="0"/>
    <w:rPr>
      <w:rFonts w:ascii="Times New Roman" w:hAnsi="Times New Roman" w:eastAsia="宋体"/>
      <w:sz w:val="24"/>
    </w:rPr>
  </w:style>
  <w:style w:type="paragraph" w:customStyle="1" w:styleId="48">
    <w:name w:val="说明"/>
    <w:basedOn w:val="1"/>
    <w:link w:val="49"/>
    <w:qFormat/>
    <w:uiPriority w:val="0"/>
    <w:pPr>
      <w:spacing w:line="400" w:lineRule="atLeast"/>
    </w:pPr>
    <w:rPr>
      <w:rFonts w:ascii="楷体_GB2312" w:eastAsia="楷体_GB2312"/>
      <w:kern w:val="2"/>
      <w:sz w:val="24"/>
      <w:szCs w:val="24"/>
    </w:rPr>
  </w:style>
  <w:style w:type="character" w:customStyle="1" w:styleId="49">
    <w:name w:val="说明 Char1"/>
    <w:link w:val="48"/>
    <w:locked/>
    <w:uiPriority w:val="0"/>
    <w:rPr>
      <w:rFonts w:ascii="楷体_GB2312" w:eastAsia="楷体_GB2312" w:cs="Times New Roman"/>
      <w:kern w:val="2"/>
      <w:sz w:val="24"/>
      <w:szCs w:val="24"/>
      <w:lang w:val="en-US" w:eastAsia="zh-CN" w:bidi="ar-SA"/>
    </w:rPr>
  </w:style>
  <w:style w:type="character" w:customStyle="1" w:styleId="50">
    <w:name w:val="说明 Char"/>
    <w:qFormat/>
    <w:uiPriority w:val="0"/>
    <w:rPr>
      <w:rFonts w:ascii="楷体_GB2312" w:eastAsia="楷体_GB2312" w:cs="Times New Roman"/>
      <w:kern w:val="2"/>
      <w:sz w:val="24"/>
      <w:szCs w:val="24"/>
      <w:lang w:val="en-US" w:eastAsia="zh-CN" w:bidi="ar-SA"/>
    </w:rPr>
  </w:style>
  <w:style w:type="paragraph" w:customStyle="1" w:styleId="51">
    <w:name w:val="样式"/>
    <w:uiPriority w:val="0"/>
    <w:rPr>
      <w:rFonts w:ascii="Times New Roman" w:hAnsi="Times New Roman" w:eastAsia="宋体" w:cs="Times New Roman"/>
      <w:lang w:val="en-US" w:eastAsia="zh-CN" w:bidi="ar-SA"/>
    </w:rPr>
  </w:style>
  <w:style w:type="character" w:customStyle="1" w:styleId="52">
    <w:name w:val="s"/>
    <w:uiPriority w:val="0"/>
    <w:rPr>
      <w:rFonts w:ascii="Times New Roman" w:hAnsi="Times New Roman" w:eastAsia="仿宋_GB2312" w:cs="Times New Roman"/>
      <w:sz w:val="24"/>
      <w:szCs w:val="24"/>
    </w:rPr>
  </w:style>
  <w:style w:type="paragraph" w:customStyle="1" w:styleId="53">
    <w:name w:val="章"/>
    <w:basedOn w:val="1"/>
    <w:link w:val="54"/>
    <w:qFormat/>
    <w:uiPriority w:val="0"/>
    <w:pPr>
      <w:spacing w:beforeLines="100" w:afterLines="100"/>
      <w:jc w:val="center"/>
      <w:outlineLvl w:val="0"/>
    </w:pPr>
    <w:rPr>
      <w:b/>
      <w:bCs/>
      <w:kern w:val="2"/>
      <w:sz w:val="28"/>
      <w:szCs w:val="28"/>
    </w:rPr>
  </w:style>
  <w:style w:type="character" w:customStyle="1" w:styleId="54">
    <w:name w:val="章 Char"/>
    <w:link w:val="53"/>
    <w:qFormat/>
    <w:locked/>
    <w:uiPriority w:val="0"/>
    <w:rPr>
      <w:rFonts w:eastAsia="宋体" w:cs="Times New Roman"/>
      <w:b/>
      <w:bCs/>
      <w:kern w:val="2"/>
      <w:sz w:val="28"/>
      <w:szCs w:val="28"/>
      <w:lang w:val="en-US" w:eastAsia="zh-CN" w:bidi="ar-SA"/>
    </w:rPr>
  </w:style>
  <w:style w:type="paragraph" w:customStyle="1" w:styleId="55">
    <w:name w:val="分条"/>
    <w:basedOn w:val="1"/>
    <w:link w:val="56"/>
    <w:qFormat/>
    <w:uiPriority w:val="0"/>
    <w:pPr>
      <w:spacing w:line="360" w:lineRule="auto"/>
    </w:pPr>
    <w:rPr>
      <w:kern w:val="2"/>
      <w:sz w:val="24"/>
      <w:szCs w:val="24"/>
    </w:rPr>
  </w:style>
  <w:style w:type="character" w:customStyle="1" w:styleId="56">
    <w:name w:val="分条 Char"/>
    <w:link w:val="55"/>
    <w:qFormat/>
    <w:locked/>
    <w:uiPriority w:val="0"/>
    <w:rPr>
      <w:rFonts w:eastAsia="宋体" w:cs="Times New Roman"/>
      <w:kern w:val="2"/>
      <w:sz w:val="24"/>
      <w:szCs w:val="24"/>
      <w:lang w:val="en-US" w:eastAsia="zh-CN" w:bidi="ar-SA"/>
    </w:rPr>
  </w:style>
  <w:style w:type="paragraph" w:customStyle="1" w:styleId="57">
    <w:name w:val="节"/>
    <w:basedOn w:val="1"/>
    <w:qFormat/>
    <w:uiPriority w:val="0"/>
    <w:pPr>
      <w:spacing w:beforeLines="100" w:afterLines="100"/>
      <w:jc w:val="center"/>
      <w:outlineLvl w:val="1"/>
    </w:pPr>
    <w:rPr>
      <w:b/>
      <w:bCs/>
      <w:sz w:val="24"/>
    </w:rPr>
  </w:style>
  <w:style w:type="paragraph" w:customStyle="1" w:styleId="58">
    <w:name w:val="表头"/>
    <w:basedOn w:val="1"/>
    <w:link w:val="59"/>
    <w:qFormat/>
    <w:uiPriority w:val="0"/>
    <w:pPr>
      <w:spacing w:beforeLines="50" w:afterLines="50"/>
      <w:jc w:val="center"/>
    </w:pPr>
    <w:rPr>
      <w:b/>
      <w:bCs/>
      <w:kern w:val="2"/>
    </w:rPr>
  </w:style>
  <w:style w:type="character" w:customStyle="1" w:styleId="59">
    <w:name w:val="表头 Char"/>
    <w:link w:val="58"/>
    <w:qFormat/>
    <w:locked/>
    <w:uiPriority w:val="0"/>
    <w:rPr>
      <w:rFonts w:eastAsia="宋体" w:cs="Times New Roman"/>
      <w:b/>
      <w:bCs/>
      <w:kern w:val="2"/>
      <w:sz w:val="21"/>
      <w:szCs w:val="21"/>
      <w:lang w:val="en-US" w:eastAsia="zh-CN" w:bidi="ar-SA"/>
    </w:rPr>
  </w:style>
  <w:style w:type="paragraph" w:customStyle="1" w:styleId="60">
    <w:name w:val="表"/>
    <w:basedOn w:val="1"/>
    <w:qFormat/>
    <w:uiPriority w:val="0"/>
    <w:pPr>
      <w:tabs>
        <w:tab w:val="left" w:pos="432"/>
      </w:tabs>
      <w:ind w:left="432" w:hanging="432"/>
      <w:jc w:val="center"/>
    </w:pPr>
    <w:rPr>
      <w:bCs/>
    </w:rPr>
  </w:style>
  <w:style w:type="paragraph" w:customStyle="1" w:styleId="61">
    <w:name w:val="Char Char Char Char Char Char Char"/>
    <w:basedOn w:val="1"/>
    <w:qFormat/>
    <w:uiPriority w:val="0"/>
    <w:pPr>
      <w:widowControl/>
      <w:spacing w:after="160" w:line="240" w:lineRule="exact"/>
      <w:jc w:val="left"/>
    </w:pPr>
    <w:rPr>
      <w:rFonts w:ascii="Arial" w:hAnsi="Arial" w:cs="Verdana"/>
      <w:b/>
      <w:sz w:val="24"/>
      <w:lang w:eastAsia="en-US"/>
    </w:rPr>
  </w:style>
  <w:style w:type="paragraph" w:customStyle="1" w:styleId="62">
    <w:name w:val="公式"/>
    <w:basedOn w:val="1"/>
    <w:qFormat/>
    <w:uiPriority w:val="0"/>
    <w:pPr>
      <w:spacing w:line="360" w:lineRule="auto"/>
      <w:jc w:val="right"/>
    </w:pPr>
    <w:rPr>
      <w:sz w:val="24"/>
    </w:rPr>
  </w:style>
  <w:style w:type="paragraph" w:customStyle="1" w:styleId="63">
    <w:name w:val="注"/>
    <w:basedOn w:val="1"/>
    <w:qFormat/>
    <w:uiPriority w:val="0"/>
    <w:pPr>
      <w:ind w:left="788" w:leftChars="200" w:hanging="368" w:hangingChars="175"/>
    </w:pPr>
  </w:style>
  <w:style w:type="paragraph" w:customStyle="1" w:styleId="64">
    <w:name w:val="条文说明"/>
    <w:basedOn w:val="55"/>
    <w:qFormat/>
    <w:uiPriority w:val="0"/>
    <w:pPr>
      <w:ind w:firstLine="480"/>
    </w:pPr>
    <w:rPr>
      <w:rFonts w:eastAsia="仿宋_GB2312"/>
    </w:rPr>
  </w:style>
  <w:style w:type="paragraph" w:customStyle="1" w:styleId="65">
    <w:name w:val="新条文"/>
    <w:link w:val="66"/>
    <w:qFormat/>
    <w:uiPriority w:val="0"/>
    <w:pPr>
      <w:tabs>
        <w:tab w:val="left" w:pos="432"/>
      </w:tabs>
      <w:spacing w:line="400" w:lineRule="atLeast"/>
      <w:ind w:left="432" w:hanging="432"/>
    </w:pPr>
    <w:rPr>
      <w:rFonts w:ascii="Times New Roman" w:hAnsi="Times New Roman" w:eastAsia="宋体" w:cs="Times New Roman"/>
      <w:kern w:val="2"/>
      <w:sz w:val="24"/>
      <w:szCs w:val="24"/>
      <w:lang w:val="en-US" w:eastAsia="zh-CN" w:bidi="ar-SA"/>
    </w:rPr>
  </w:style>
  <w:style w:type="character" w:customStyle="1" w:styleId="66">
    <w:name w:val="新条文 Char"/>
    <w:link w:val="65"/>
    <w:qFormat/>
    <w:locked/>
    <w:uiPriority w:val="0"/>
    <w:rPr>
      <w:kern w:val="2"/>
      <w:sz w:val="24"/>
      <w:szCs w:val="24"/>
      <w:lang w:val="en-US" w:eastAsia="zh-CN" w:bidi="ar-SA"/>
    </w:rPr>
  </w:style>
  <w:style w:type="paragraph" w:customStyle="1" w:styleId="67">
    <w:name w:val="条文"/>
    <w:basedOn w:val="1"/>
    <w:qFormat/>
    <w:uiPriority w:val="0"/>
    <w:pPr>
      <w:outlineLvl w:val="2"/>
    </w:pPr>
    <w:rPr>
      <w:sz w:val="24"/>
    </w:rPr>
  </w:style>
  <w:style w:type="paragraph" w:customStyle="1" w:styleId="68">
    <w:name w:val="段落正文"/>
    <w:basedOn w:val="1"/>
    <w:qFormat/>
    <w:uiPriority w:val="0"/>
    <w:pPr>
      <w:ind w:firstLine="482"/>
    </w:pPr>
    <w:rPr>
      <w:sz w:val="24"/>
    </w:rPr>
  </w:style>
  <w:style w:type="paragraph" w:customStyle="1" w:styleId="69">
    <w:name w:val="默认段落字体 Para Char Char Char Char"/>
    <w:basedOn w:val="1"/>
    <w:qFormat/>
    <w:uiPriority w:val="0"/>
  </w:style>
  <w:style w:type="paragraph" w:customStyle="1" w:styleId="70">
    <w:name w:val="图"/>
    <w:basedOn w:val="1"/>
    <w:qFormat/>
    <w:uiPriority w:val="0"/>
    <w:pPr>
      <w:jc w:val="center"/>
    </w:pPr>
    <w:rPr>
      <w:rFonts w:ascii="黑体" w:eastAsia="黑体"/>
      <w:sz w:val="18"/>
    </w:rPr>
  </w:style>
  <w:style w:type="paragraph" w:customStyle="1" w:styleId="7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72">
    <w:name w:val="Char"/>
    <w:basedOn w:val="1"/>
    <w:qFormat/>
    <w:uiPriority w:val="0"/>
    <w:pPr>
      <w:widowControl/>
      <w:spacing w:after="160" w:line="240" w:lineRule="exact"/>
      <w:jc w:val="left"/>
    </w:pPr>
    <w:rPr>
      <w:rFonts w:ascii="Arial" w:hAnsi="Arial" w:cs="Verdana"/>
      <w:b/>
      <w:sz w:val="24"/>
      <w:lang w:eastAsia="en-US"/>
    </w:rPr>
  </w:style>
  <w:style w:type="character" w:customStyle="1" w:styleId="73">
    <w:name w:val="trans"/>
    <w:qFormat/>
    <w:uiPriority w:val="0"/>
    <w:rPr>
      <w:rFonts w:cs="Times New Roman"/>
    </w:rPr>
  </w:style>
  <w:style w:type="paragraph" w:customStyle="1" w:styleId="74">
    <w:name w:val="大綱編號"/>
    <w:basedOn w:val="1"/>
    <w:qFormat/>
    <w:uiPriority w:val="0"/>
    <w:pPr>
      <w:tabs>
        <w:tab w:val="left" w:pos="2551"/>
      </w:tabs>
      <w:ind w:left="2551" w:hanging="850"/>
      <w:jc w:val="left"/>
    </w:pPr>
    <w:rPr>
      <w:rFonts w:eastAsia="PMingLiU"/>
      <w:sz w:val="24"/>
    </w:rPr>
  </w:style>
  <w:style w:type="paragraph" w:customStyle="1" w:styleId="75">
    <w:name w:val="五号正文"/>
    <w:basedOn w:val="1"/>
    <w:qFormat/>
    <w:uiPriority w:val="0"/>
    <w:rPr>
      <w:rFonts w:eastAsia="仿宋_GB2312"/>
    </w:rPr>
  </w:style>
  <w:style w:type="paragraph" w:customStyle="1" w:styleId="76">
    <w:name w:val="正文（缩进两字）"/>
    <w:basedOn w:val="1"/>
    <w:qFormat/>
    <w:uiPriority w:val="0"/>
    <w:pPr>
      <w:spacing w:line="360" w:lineRule="exact"/>
      <w:ind w:firstLine="420"/>
    </w:pPr>
    <w:rPr>
      <w:rFonts w:ascii="宋体"/>
    </w:rPr>
  </w:style>
  <w:style w:type="paragraph" w:customStyle="1" w:styleId="77">
    <w:name w:val="注："/>
    <w:next w:val="1"/>
    <w:qFormat/>
    <w:uiPriority w:val="0"/>
    <w:pPr>
      <w:widowControl w:val="0"/>
      <w:tabs>
        <w:tab w:val="left" w:pos="1140"/>
      </w:tabs>
      <w:autoSpaceDE w:val="0"/>
      <w:autoSpaceDN w:val="0"/>
      <w:ind w:left="840" w:hanging="420"/>
      <w:jc w:val="both"/>
    </w:pPr>
    <w:rPr>
      <w:rFonts w:ascii="宋体" w:hAnsi="Times New Roman" w:eastAsia="宋体" w:cs="Times New Roman"/>
      <w:sz w:val="18"/>
      <w:lang w:val="en-US" w:eastAsia="zh-CN" w:bidi="ar-SA"/>
    </w:rPr>
  </w:style>
  <w:style w:type="paragraph" w:customStyle="1" w:styleId="78">
    <w:name w:val="表名、图名"/>
    <w:basedOn w:val="75"/>
    <w:qFormat/>
    <w:uiPriority w:val="0"/>
    <w:pPr>
      <w:spacing w:after="80" w:line="320" w:lineRule="atLeast"/>
      <w:ind w:firstLine="0" w:firstLineChars="0"/>
      <w:jc w:val="center"/>
    </w:pPr>
    <w:rPr>
      <w:rFonts w:eastAsia="黑体"/>
      <w:w w:val="90"/>
      <w:sz w:val="18"/>
      <w:szCs w:val="24"/>
    </w:rPr>
  </w:style>
  <w:style w:type="character" w:customStyle="1" w:styleId="79">
    <w:name w:val="002 Char"/>
    <w:link w:val="80"/>
    <w:qFormat/>
    <w:locked/>
    <w:uiPriority w:val="0"/>
    <w:rPr>
      <w:rFonts w:ascii="黑体" w:eastAsia="黑体" w:cs="Times New Roman"/>
      <w:kern w:val="2"/>
      <w:sz w:val="24"/>
      <w:lang w:val="en-US" w:eastAsia="zh-CN" w:bidi="ar-SA"/>
    </w:rPr>
  </w:style>
  <w:style w:type="paragraph" w:customStyle="1" w:styleId="80">
    <w:name w:val="002"/>
    <w:basedOn w:val="1"/>
    <w:link w:val="79"/>
    <w:qFormat/>
    <w:uiPriority w:val="0"/>
    <w:pPr>
      <w:spacing w:line="360" w:lineRule="auto"/>
      <w:jc w:val="center"/>
    </w:pPr>
    <w:rPr>
      <w:rFonts w:ascii="黑体" w:eastAsia="黑体"/>
      <w:kern w:val="2"/>
      <w:sz w:val="24"/>
      <w:szCs w:val="20"/>
    </w:rPr>
  </w:style>
  <w:style w:type="character" w:customStyle="1" w:styleId="81">
    <w:name w:val="102 Char"/>
    <w:link w:val="82"/>
    <w:qFormat/>
    <w:locked/>
    <w:uiPriority w:val="0"/>
    <w:rPr>
      <w:rFonts w:ascii="宋体" w:hAnsi="宋体" w:eastAsia="宋体" w:cs="Times New Roman"/>
      <w:sz w:val="24"/>
      <w:lang w:val="en-US" w:eastAsia="zh-CN" w:bidi="ar-SA"/>
    </w:rPr>
  </w:style>
  <w:style w:type="paragraph" w:customStyle="1" w:styleId="82">
    <w:name w:val="102"/>
    <w:basedOn w:val="1"/>
    <w:link w:val="81"/>
    <w:qFormat/>
    <w:uiPriority w:val="0"/>
    <w:pPr>
      <w:spacing w:line="360" w:lineRule="auto"/>
      <w:ind w:firstLine="360" w:firstLineChars="150"/>
    </w:pPr>
    <w:rPr>
      <w:rFonts w:ascii="宋体" w:hAnsi="宋体"/>
      <w:sz w:val="24"/>
      <w:szCs w:val="20"/>
    </w:rPr>
  </w:style>
  <w:style w:type="paragraph" w:customStyle="1" w:styleId="83">
    <w:name w:val="B001"/>
    <w:basedOn w:val="1"/>
    <w:qFormat/>
    <w:uiPriority w:val="0"/>
    <w:pPr>
      <w:spacing w:line="360" w:lineRule="auto"/>
      <w:jc w:val="center"/>
    </w:pPr>
    <w:rPr>
      <w:rFonts w:ascii="黑体" w:eastAsia="黑体"/>
      <w:sz w:val="24"/>
      <w:szCs w:val="20"/>
    </w:rPr>
  </w:style>
  <w:style w:type="paragraph" w:customStyle="1" w:styleId="84">
    <w:name w:val="A000"/>
    <w:basedOn w:val="1"/>
    <w:qFormat/>
    <w:uiPriority w:val="0"/>
    <w:pPr>
      <w:jc w:val="center"/>
    </w:pPr>
    <w:rPr>
      <w:rFonts w:ascii="黑体" w:eastAsia="黑体"/>
      <w:sz w:val="32"/>
      <w:szCs w:val="20"/>
    </w:rPr>
  </w:style>
  <w:style w:type="paragraph" w:customStyle="1" w:styleId="85">
    <w:name w:val="1.1 节"/>
    <w:basedOn w:val="1"/>
    <w:link w:val="86"/>
    <w:qFormat/>
    <w:uiPriority w:val="0"/>
    <w:pPr>
      <w:spacing w:before="312" w:after="312"/>
      <w:jc w:val="center"/>
    </w:pPr>
    <w:rPr>
      <w:b/>
      <w:kern w:val="2"/>
      <w:sz w:val="24"/>
      <w:szCs w:val="20"/>
    </w:rPr>
  </w:style>
  <w:style w:type="character" w:customStyle="1" w:styleId="86">
    <w:name w:val="1.1 节 Char"/>
    <w:link w:val="85"/>
    <w:qFormat/>
    <w:locked/>
    <w:uiPriority w:val="0"/>
    <w:rPr>
      <w:rFonts w:eastAsia="宋体" w:cs="Times New Roman"/>
      <w:b/>
      <w:kern w:val="2"/>
      <w:sz w:val="24"/>
      <w:lang w:val="en-US" w:eastAsia="zh-CN" w:bidi="ar-SA"/>
    </w:rPr>
  </w:style>
  <w:style w:type="paragraph" w:customStyle="1" w:styleId="87">
    <w:name w:val="101"/>
    <w:basedOn w:val="1"/>
    <w:link w:val="88"/>
    <w:qFormat/>
    <w:uiPriority w:val="0"/>
    <w:pPr>
      <w:spacing w:line="360" w:lineRule="auto"/>
    </w:pPr>
    <w:rPr>
      <w:rFonts w:ascii="黑体"/>
      <w:kern w:val="2"/>
      <w:sz w:val="24"/>
      <w:szCs w:val="20"/>
    </w:rPr>
  </w:style>
  <w:style w:type="character" w:customStyle="1" w:styleId="88">
    <w:name w:val="101 Char"/>
    <w:link w:val="87"/>
    <w:qFormat/>
    <w:locked/>
    <w:uiPriority w:val="0"/>
    <w:rPr>
      <w:rFonts w:ascii="黑体" w:eastAsia="宋体" w:cs="Times New Roman"/>
      <w:kern w:val="2"/>
      <w:sz w:val="24"/>
      <w:lang w:val="en-US" w:eastAsia="zh-CN" w:bidi="ar-SA"/>
    </w:rPr>
  </w:style>
  <w:style w:type="paragraph" w:customStyle="1" w:styleId="89">
    <w:name w:val="A001"/>
    <w:basedOn w:val="1"/>
    <w:qFormat/>
    <w:uiPriority w:val="0"/>
    <w:pPr>
      <w:jc w:val="center"/>
    </w:pPr>
    <w:rPr>
      <w:rFonts w:ascii="楷体_GB2312" w:eastAsia="楷体_GB2312"/>
      <w:sz w:val="32"/>
      <w:szCs w:val="20"/>
    </w:rPr>
  </w:style>
  <w:style w:type="paragraph" w:customStyle="1" w:styleId="90">
    <w:name w:val="B002"/>
    <w:basedOn w:val="1"/>
    <w:qFormat/>
    <w:uiPriority w:val="0"/>
    <w:pPr>
      <w:ind w:left="57"/>
      <w:jc w:val="center"/>
    </w:pPr>
    <w:rPr>
      <w:rFonts w:ascii="宋体" w:hAnsi="宋体"/>
      <w:sz w:val="18"/>
      <w:szCs w:val="20"/>
    </w:rPr>
  </w:style>
  <w:style w:type="paragraph" w:customStyle="1" w:styleId="91">
    <w:name w:val="A002"/>
    <w:basedOn w:val="1"/>
    <w:qFormat/>
    <w:uiPriority w:val="0"/>
    <w:pPr>
      <w:pBdr>
        <w:bottom w:val="double" w:color="auto" w:sz="6" w:space="1"/>
      </w:pBdr>
    </w:pPr>
    <w:rPr>
      <w:szCs w:val="20"/>
    </w:rPr>
  </w:style>
  <w:style w:type="paragraph" w:customStyle="1" w:styleId="92">
    <w:name w:val="1.1.1  条文"/>
    <w:basedOn w:val="1"/>
    <w:link w:val="93"/>
    <w:qFormat/>
    <w:uiPriority w:val="0"/>
    <w:pPr>
      <w:spacing w:line="360" w:lineRule="auto"/>
    </w:pPr>
    <w:rPr>
      <w:kern w:val="2"/>
      <w:sz w:val="24"/>
      <w:szCs w:val="20"/>
    </w:rPr>
  </w:style>
  <w:style w:type="character" w:customStyle="1" w:styleId="93">
    <w:name w:val="1.1.1  条文 Char"/>
    <w:link w:val="92"/>
    <w:qFormat/>
    <w:locked/>
    <w:uiPriority w:val="0"/>
    <w:rPr>
      <w:rFonts w:eastAsia="宋体" w:cs="Times New Roman"/>
      <w:kern w:val="2"/>
      <w:sz w:val="24"/>
      <w:lang w:val="en-US" w:eastAsia="zh-CN" w:bidi="ar-SA"/>
    </w:rPr>
  </w:style>
  <w:style w:type="paragraph" w:customStyle="1" w:styleId="94">
    <w:name w:val="1 章"/>
    <w:basedOn w:val="1"/>
    <w:qFormat/>
    <w:uiPriority w:val="0"/>
    <w:pPr>
      <w:spacing w:beforeLines="100" w:afterLines="100"/>
      <w:jc w:val="center"/>
      <w:outlineLvl w:val="0"/>
    </w:pPr>
    <w:rPr>
      <w:b/>
      <w:sz w:val="28"/>
      <w:szCs w:val="20"/>
    </w:rPr>
  </w:style>
  <w:style w:type="paragraph" w:customStyle="1" w:styleId="95">
    <w:name w:val="前言、引言标题"/>
    <w:next w:val="1"/>
    <w:qFormat/>
    <w:uiPriority w:val="0"/>
    <w:pPr>
      <w:shd w:val="clear" w:color="FFFFFF" w:fill="FFFFFF"/>
      <w:tabs>
        <w:tab w:val="left" w:pos="11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9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7">
    <w:name w:val="章标题"/>
    <w:next w:val="96"/>
    <w:qFormat/>
    <w:uiPriority w:val="0"/>
    <w:pPr>
      <w:tabs>
        <w:tab w:val="left" w:pos="840"/>
      </w:tabs>
      <w:spacing w:beforeLines="50" w:afterLines="50"/>
      <w:ind w:left="840" w:hanging="420"/>
      <w:jc w:val="both"/>
      <w:outlineLvl w:val="1"/>
    </w:pPr>
    <w:rPr>
      <w:rFonts w:ascii="黑体" w:hAnsi="Times New Roman" w:eastAsia="黑体" w:cs="Times New Roman"/>
      <w:sz w:val="21"/>
      <w:lang w:val="en-US" w:eastAsia="zh-CN" w:bidi="ar-SA"/>
    </w:rPr>
  </w:style>
  <w:style w:type="paragraph" w:customStyle="1" w:styleId="98">
    <w:name w:val="一级条标题"/>
    <w:basedOn w:val="97"/>
    <w:next w:val="96"/>
    <w:qFormat/>
    <w:uiPriority w:val="0"/>
    <w:pPr>
      <w:spacing w:beforeLines="0" w:afterLines="0"/>
      <w:ind w:left="840" w:hanging="420"/>
      <w:outlineLvl w:val="2"/>
    </w:pPr>
  </w:style>
  <w:style w:type="paragraph" w:customStyle="1" w:styleId="99">
    <w:name w:val="二级条标题"/>
    <w:basedOn w:val="98"/>
    <w:next w:val="96"/>
    <w:qFormat/>
    <w:uiPriority w:val="0"/>
    <w:pPr>
      <w:tabs>
        <w:tab w:val="left" w:pos="1680"/>
      </w:tabs>
      <w:ind w:left="1680" w:hanging="420"/>
      <w:outlineLvl w:val="3"/>
    </w:pPr>
  </w:style>
  <w:style w:type="paragraph" w:customStyle="1" w:styleId="100">
    <w:name w:val="三级条标题"/>
    <w:basedOn w:val="99"/>
    <w:next w:val="96"/>
    <w:qFormat/>
    <w:uiPriority w:val="0"/>
    <w:pPr>
      <w:tabs>
        <w:tab w:val="left" w:pos="2551"/>
      </w:tabs>
      <w:ind w:left="2551" w:hanging="850"/>
      <w:outlineLvl w:val="4"/>
    </w:pPr>
  </w:style>
  <w:style w:type="paragraph" w:customStyle="1" w:styleId="101">
    <w:name w:val="四级条标题"/>
    <w:basedOn w:val="100"/>
    <w:next w:val="96"/>
    <w:qFormat/>
    <w:uiPriority w:val="0"/>
    <w:pPr>
      <w:ind w:left="2551" w:hanging="850"/>
      <w:outlineLvl w:val="5"/>
    </w:pPr>
  </w:style>
  <w:style w:type="paragraph" w:customStyle="1" w:styleId="102">
    <w:name w:val="五级条标题"/>
    <w:basedOn w:val="101"/>
    <w:next w:val="96"/>
    <w:qFormat/>
    <w:uiPriority w:val="0"/>
    <w:pPr>
      <w:ind w:left="2551" w:hanging="850"/>
      <w:outlineLvl w:val="6"/>
    </w:pPr>
  </w:style>
  <w:style w:type="paragraph" w:customStyle="1" w:styleId="103">
    <w:name w:val="注×："/>
    <w:qFormat/>
    <w:uiPriority w:val="0"/>
    <w:pPr>
      <w:widowControl w:val="0"/>
      <w:tabs>
        <w:tab w:val="left" w:pos="630"/>
        <w:tab w:val="left" w:pos="900"/>
      </w:tabs>
      <w:autoSpaceDE w:val="0"/>
      <w:autoSpaceDN w:val="0"/>
      <w:ind w:left="900" w:hanging="500"/>
      <w:jc w:val="both"/>
    </w:pPr>
    <w:rPr>
      <w:rFonts w:ascii="宋体" w:hAnsi="Times New Roman" w:eastAsia="宋体" w:cs="Times New Roman"/>
      <w:sz w:val="18"/>
      <w:lang w:val="en-US" w:eastAsia="zh-CN" w:bidi="ar-SA"/>
    </w:rPr>
  </w:style>
  <w:style w:type="paragraph" w:customStyle="1" w:styleId="104">
    <w:name w:val="附录A列表"/>
    <w:basedOn w:val="1"/>
    <w:qFormat/>
    <w:uiPriority w:val="0"/>
    <w:pPr>
      <w:keepNext/>
      <w:jc w:val="center"/>
    </w:pPr>
  </w:style>
  <w:style w:type="paragraph" w:customStyle="1" w:styleId="105">
    <w:name w:val="二级无标题条"/>
    <w:basedOn w:val="1"/>
    <w:qFormat/>
    <w:uiPriority w:val="0"/>
  </w:style>
  <w:style w:type="paragraph" w:customStyle="1" w:styleId="106">
    <w:name w:val="附录标识"/>
    <w:basedOn w:val="95"/>
    <w:qFormat/>
    <w:uiPriority w:val="0"/>
    <w:pPr>
      <w:tabs>
        <w:tab w:val="left" w:pos="6405"/>
        <w:tab w:val="clear" w:pos="1140"/>
      </w:tabs>
      <w:spacing w:after="200"/>
      <w:ind w:left="0" w:firstLine="0"/>
    </w:pPr>
    <w:rPr>
      <w:sz w:val="21"/>
    </w:rPr>
  </w:style>
  <w:style w:type="paragraph" w:customStyle="1" w:styleId="107">
    <w:name w:val="附录章标题"/>
    <w:next w:val="96"/>
    <w:qFormat/>
    <w:uiPriority w:val="0"/>
    <w:pPr>
      <w:wordWrap w:val="0"/>
      <w:overflowPunct w:val="0"/>
      <w:autoSpaceDE w:val="0"/>
      <w:spacing w:beforeLines="50" w:afterLines="50"/>
      <w:ind w:left="993"/>
      <w:jc w:val="both"/>
      <w:textAlignment w:val="baseline"/>
      <w:outlineLvl w:val="1"/>
    </w:pPr>
    <w:rPr>
      <w:rFonts w:ascii="黑体" w:hAnsi="Times New Roman" w:eastAsia="黑体" w:cs="Times New Roman"/>
      <w:kern w:val="21"/>
      <w:sz w:val="21"/>
      <w:lang w:val="en-US" w:eastAsia="zh-CN" w:bidi="ar-SA"/>
    </w:rPr>
  </w:style>
  <w:style w:type="paragraph" w:customStyle="1" w:styleId="108">
    <w:name w:val="附录一级条标题"/>
    <w:basedOn w:val="107"/>
    <w:next w:val="96"/>
    <w:qFormat/>
    <w:uiPriority w:val="0"/>
    <w:pPr>
      <w:tabs>
        <w:tab w:val="left" w:pos="360"/>
      </w:tabs>
      <w:autoSpaceDN w:val="0"/>
      <w:spacing w:beforeLines="0" w:afterLines="0"/>
      <w:ind w:left="630"/>
      <w:outlineLvl w:val="2"/>
    </w:pPr>
  </w:style>
  <w:style w:type="paragraph" w:customStyle="1" w:styleId="109">
    <w:name w:val="附录二级条标题"/>
    <w:basedOn w:val="108"/>
    <w:next w:val="96"/>
    <w:qFormat/>
    <w:uiPriority w:val="0"/>
    <w:pPr>
      <w:ind w:left="630"/>
      <w:outlineLvl w:val="3"/>
    </w:pPr>
  </w:style>
  <w:style w:type="paragraph" w:customStyle="1" w:styleId="110">
    <w:name w:val="附录三级条标题"/>
    <w:basedOn w:val="109"/>
    <w:next w:val="96"/>
    <w:qFormat/>
    <w:uiPriority w:val="0"/>
    <w:pPr>
      <w:ind w:left="630"/>
      <w:outlineLvl w:val="4"/>
    </w:pPr>
  </w:style>
  <w:style w:type="paragraph" w:customStyle="1" w:styleId="111">
    <w:name w:val="附录四级条标题"/>
    <w:basedOn w:val="110"/>
    <w:next w:val="96"/>
    <w:qFormat/>
    <w:uiPriority w:val="0"/>
    <w:pPr>
      <w:ind w:left="630"/>
      <w:outlineLvl w:val="5"/>
    </w:pPr>
  </w:style>
  <w:style w:type="paragraph" w:customStyle="1" w:styleId="112">
    <w:name w:val="附录五级条标题"/>
    <w:basedOn w:val="111"/>
    <w:next w:val="96"/>
    <w:qFormat/>
    <w:uiPriority w:val="0"/>
    <w:pPr>
      <w:ind w:left="630"/>
      <w:outlineLvl w:val="6"/>
    </w:pPr>
  </w:style>
  <w:style w:type="paragraph" w:customStyle="1" w:styleId="113">
    <w:name w:val="列项——"/>
    <w:qFormat/>
    <w:uiPriority w:val="0"/>
    <w:pPr>
      <w:widowControl w:val="0"/>
      <w:tabs>
        <w:tab w:val="left" w:pos="1140"/>
      </w:tabs>
      <w:ind w:left="840" w:hanging="420"/>
      <w:jc w:val="both"/>
    </w:pPr>
    <w:rPr>
      <w:rFonts w:ascii="宋体" w:hAnsi="Times New Roman" w:eastAsia="宋体" w:cs="Times New Roman"/>
      <w:sz w:val="21"/>
      <w:lang w:val="en-US" w:eastAsia="zh-CN" w:bidi="ar-SA"/>
    </w:rPr>
  </w:style>
  <w:style w:type="paragraph" w:customStyle="1" w:styleId="114">
    <w:name w:val="列项·"/>
    <w:qFormat/>
    <w:uiPriority w:val="0"/>
    <w:pPr>
      <w:tabs>
        <w:tab w:val="left" w:pos="840"/>
        <w:tab w:val="left" w:pos="1140"/>
      </w:tabs>
      <w:ind w:left="737" w:hanging="317"/>
      <w:jc w:val="both"/>
    </w:pPr>
    <w:rPr>
      <w:rFonts w:ascii="宋体" w:hAnsi="Times New Roman" w:eastAsia="宋体" w:cs="Times New Roman"/>
      <w:sz w:val="21"/>
      <w:lang w:val="en-US" w:eastAsia="zh-CN" w:bidi="ar-SA"/>
    </w:rPr>
  </w:style>
  <w:style w:type="paragraph" w:customStyle="1" w:styleId="115">
    <w:name w:val="三级无标题条"/>
    <w:basedOn w:val="1"/>
    <w:qFormat/>
    <w:uiPriority w:val="0"/>
  </w:style>
  <w:style w:type="paragraph" w:customStyle="1" w:styleId="116">
    <w:name w:val="示例"/>
    <w:next w:val="96"/>
    <w:qFormat/>
    <w:uiPriority w:val="0"/>
    <w:pPr>
      <w:tabs>
        <w:tab w:val="left" w:pos="1120"/>
      </w:tabs>
      <w:ind w:firstLine="400"/>
      <w:jc w:val="both"/>
    </w:pPr>
    <w:rPr>
      <w:rFonts w:ascii="宋体" w:hAnsi="Times New Roman" w:eastAsia="宋体" w:cs="Times New Roman"/>
      <w:sz w:val="18"/>
      <w:lang w:val="en-US" w:eastAsia="zh-CN" w:bidi="ar-SA"/>
    </w:rPr>
  </w:style>
  <w:style w:type="paragraph" w:customStyle="1" w:styleId="117">
    <w:name w:val="四级无标题条"/>
    <w:basedOn w:val="1"/>
    <w:qFormat/>
    <w:uiPriority w:val="0"/>
    <w:pPr>
      <w:ind w:firstLine="200" w:firstLineChars="200"/>
    </w:pPr>
  </w:style>
  <w:style w:type="paragraph" w:customStyle="1" w:styleId="118">
    <w:name w:val="五级无标题条"/>
    <w:basedOn w:val="1"/>
    <w:qFormat/>
    <w:uiPriority w:val="0"/>
  </w:style>
  <w:style w:type="paragraph" w:customStyle="1" w:styleId="119">
    <w:name w:val="一级无标题条"/>
    <w:basedOn w:val="1"/>
    <w:qFormat/>
    <w:uiPriority w:val="0"/>
    <w:pPr>
      <w:ind w:firstLine="200" w:firstLineChars="200"/>
    </w:pPr>
  </w:style>
  <w:style w:type="paragraph" w:customStyle="1" w:styleId="120">
    <w:name w:val="正文表标题"/>
    <w:next w:val="96"/>
    <w:qFormat/>
    <w:uiPriority w:val="0"/>
    <w:pPr>
      <w:jc w:val="center"/>
    </w:pPr>
    <w:rPr>
      <w:rFonts w:ascii="黑体" w:hAnsi="Times New Roman" w:eastAsia="黑体" w:cs="Times New Roman"/>
      <w:sz w:val="21"/>
      <w:lang w:val="en-US" w:eastAsia="zh-CN" w:bidi="ar-SA"/>
    </w:rPr>
  </w:style>
  <w:style w:type="paragraph" w:customStyle="1" w:styleId="121">
    <w:name w:val="正文图标题"/>
    <w:next w:val="96"/>
    <w:qFormat/>
    <w:uiPriority w:val="0"/>
    <w:pPr>
      <w:jc w:val="center"/>
    </w:pPr>
    <w:rPr>
      <w:rFonts w:ascii="黑体" w:hAnsi="Times New Roman" w:eastAsia="黑体" w:cs="Times New Roman"/>
      <w:sz w:val="21"/>
      <w:lang w:val="en-US" w:eastAsia="zh-CN" w:bidi="ar-SA"/>
    </w:rPr>
  </w:style>
  <w:style w:type="paragraph" w:customStyle="1" w:styleId="122">
    <w:name w:val="103"/>
    <w:basedOn w:val="82"/>
    <w:qFormat/>
    <w:uiPriority w:val="0"/>
    <w:rPr>
      <w:szCs w:val="24"/>
    </w:rPr>
  </w:style>
  <w:style w:type="paragraph" w:customStyle="1" w:styleId="123">
    <w:name w:val="表001"/>
    <w:basedOn w:val="1"/>
    <w:link w:val="124"/>
    <w:qFormat/>
    <w:uiPriority w:val="0"/>
    <w:pPr>
      <w:spacing w:beforeLines="50" w:afterLines="50"/>
      <w:jc w:val="center"/>
    </w:pPr>
    <w:rPr>
      <w:b/>
      <w:bCs/>
      <w:kern w:val="2"/>
    </w:rPr>
  </w:style>
  <w:style w:type="character" w:customStyle="1" w:styleId="124">
    <w:name w:val="表001 Char"/>
    <w:link w:val="123"/>
    <w:qFormat/>
    <w:locked/>
    <w:uiPriority w:val="0"/>
    <w:rPr>
      <w:rFonts w:eastAsia="宋体" w:cs="Times New Roman"/>
      <w:b/>
      <w:bCs/>
      <w:kern w:val="2"/>
      <w:sz w:val="21"/>
      <w:szCs w:val="21"/>
      <w:lang w:val="en-US" w:eastAsia="zh-CN" w:bidi="ar-SA"/>
    </w:rPr>
  </w:style>
  <w:style w:type="paragraph" w:customStyle="1" w:styleId="125">
    <w:name w:val="表002"/>
    <w:basedOn w:val="1"/>
    <w:qFormat/>
    <w:uiPriority w:val="0"/>
    <w:pPr>
      <w:jc w:val="center"/>
    </w:pPr>
    <w:rPr>
      <w:b/>
    </w:rPr>
  </w:style>
  <w:style w:type="paragraph" w:customStyle="1" w:styleId="126">
    <w:name w:val="201"/>
    <w:basedOn w:val="122"/>
    <w:qFormat/>
    <w:uiPriority w:val="0"/>
    <w:pPr>
      <w:ind w:firstLine="840" w:firstLineChars="350"/>
    </w:pPr>
  </w:style>
  <w:style w:type="paragraph" w:customStyle="1" w:styleId="127">
    <w:name w:val="备注001"/>
    <w:basedOn w:val="1"/>
    <w:qFormat/>
    <w:uiPriority w:val="0"/>
    <w:pPr>
      <w:ind w:left="788" w:leftChars="200" w:hanging="368" w:hangingChars="175"/>
    </w:pPr>
  </w:style>
  <w:style w:type="paragraph" w:customStyle="1" w:styleId="128">
    <w:name w:val="图001"/>
    <w:basedOn w:val="1"/>
    <w:qFormat/>
    <w:uiPriority w:val="0"/>
    <w:pPr>
      <w:spacing w:line="400" w:lineRule="atLeast"/>
      <w:jc w:val="center"/>
    </w:pPr>
    <w:rPr>
      <w:sz w:val="24"/>
    </w:rPr>
  </w:style>
  <w:style w:type="paragraph" w:customStyle="1" w:styleId="129">
    <w:name w:val="图注001"/>
    <w:basedOn w:val="1"/>
    <w:qFormat/>
    <w:uiPriority w:val="0"/>
    <w:pPr>
      <w:spacing w:beforeLines="50" w:afterLines="50"/>
      <w:jc w:val="center"/>
    </w:pPr>
    <w:rPr>
      <w:b/>
      <w:bCs/>
    </w:rPr>
  </w:style>
  <w:style w:type="character" w:customStyle="1" w:styleId="130">
    <w:name w:val="px14"/>
    <w:qFormat/>
    <w:uiPriority w:val="0"/>
    <w:rPr>
      <w:rFonts w:cs="Times New Roman"/>
    </w:rPr>
  </w:style>
  <w:style w:type="paragraph" w:customStyle="1" w:styleId="131">
    <w:name w:val="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132">
    <w:name w:val="0"/>
    <w:basedOn w:val="1"/>
    <w:qFormat/>
    <w:uiPriority w:val="0"/>
    <w:pPr>
      <w:jc w:val="center"/>
    </w:pPr>
    <w:rPr>
      <w:rFonts w:ascii="宋体" w:hAnsi="宋体" w:cs="Arial"/>
      <w:b/>
      <w:sz w:val="32"/>
      <w:szCs w:val="32"/>
    </w:rPr>
  </w:style>
  <w:style w:type="paragraph" w:customStyle="1" w:styleId="133">
    <w:name w:val="bg"/>
    <w:basedOn w:val="1"/>
    <w:qFormat/>
    <w:uiPriority w:val="0"/>
    <w:pPr>
      <w:jc w:val="center"/>
    </w:pPr>
    <w:rPr>
      <w:rFonts w:ascii="仿宋_GB2312" w:eastAsia="仿宋_GB2312"/>
      <w:b/>
      <w:sz w:val="24"/>
      <w:szCs w:val="20"/>
    </w:rPr>
  </w:style>
  <w:style w:type="paragraph" w:customStyle="1" w:styleId="134">
    <w:name w:val="bg02"/>
    <w:basedOn w:val="133"/>
    <w:qFormat/>
    <w:uiPriority w:val="0"/>
    <w:rPr>
      <w:b w:val="0"/>
    </w:rPr>
  </w:style>
  <w:style w:type="paragraph" w:customStyle="1" w:styleId="135">
    <w:name w:val="MTDisplayEquation"/>
    <w:basedOn w:val="1"/>
    <w:qFormat/>
    <w:uiPriority w:val="0"/>
    <w:pPr>
      <w:tabs>
        <w:tab w:val="center" w:pos="4160"/>
      </w:tabs>
      <w:spacing w:line="360" w:lineRule="auto"/>
    </w:pPr>
    <w:rPr>
      <w:b/>
      <w:sz w:val="24"/>
    </w:rPr>
  </w:style>
  <w:style w:type="paragraph" w:customStyle="1" w:styleId="136">
    <w:name w:val="a"/>
    <w:basedOn w:val="1"/>
    <w:qFormat/>
    <w:uiPriority w:val="0"/>
    <w:pPr>
      <w:widowControl/>
      <w:spacing w:before="100" w:beforeAutospacing="1" w:after="100" w:afterAutospacing="1"/>
      <w:jc w:val="left"/>
    </w:pPr>
    <w:rPr>
      <w:rFonts w:ascii="宋体" w:hAnsi="宋体" w:cs="宋体"/>
      <w:sz w:val="24"/>
    </w:rPr>
  </w:style>
  <w:style w:type="paragraph" w:customStyle="1" w:styleId="137">
    <w:name w:val="Char Char Char Char"/>
    <w:basedOn w:val="1"/>
    <w:qFormat/>
    <w:uiPriority w:val="0"/>
    <w:pPr>
      <w:widowControl/>
      <w:spacing w:after="160" w:line="240" w:lineRule="exact"/>
      <w:jc w:val="left"/>
    </w:pPr>
    <w:rPr>
      <w:rFonts w:ascii="Verdana" w:hAnsi="Verdana" w:eastAsia="仿宋_GB2312"/>
      <w:sz w:val="24"/>
      <w:szCs w:val="20"/>
      <w:lang w:eastAsia="en-US"/>
    </w:rPr>
  </w:style>
  <w:style w:type="character" w:styleId="138">
    <w:name w:val="Placeholder Text"/>
    <w:basedOn w:val="35"/>
    <w:semiHidden/>
    <w:qFormat/>
    <w:uiPriority w:val="99"/>
    <w:rPr>
      <w:color w:val="808080"/>
    </w:rPr>
  </w:style>
  <w:style w:type="paragraph" w:customStyle="1" w:styleId="139">
    <w:name w:val="Table Paragraph"/>
    <w:basedOn w:val="1"/>
    <w:qFormat/>
    <w:uiPriority w:val="0"/>
    <w:pPr>
      <w:autoSpaceDE w:val="0"/>
      <w:autoSpaceDN w:val="0"/>
      <w:snapToGrid/>
      <w:spacing w:line="240" w:lineRule="auto"/>
      <w:ind w:firstLine="0" w:firstLineChars="0"/>
      <w:jc w:val="left"/>
    </w:pPr>
    <w:rPr>
      <w:sz w:val="24"/>
      <w:szCs w:val="24"/>
    </w:rPr>
  </w:style>
  <w:style w:type="character" w:customStyle="1" w:styleId="140">
    <w:name w:val="标题 1 Char"/>
    <w:basedOn w:val="35"/>
    <w:link w:val="2"/>
    <w:qFormat/>
    <w:uiPriority w:val="0"/>
    <w:rPr>
      <w:rFonts w:eastAsia="黑体"/>
      <w:b/>
      <w:bCs/>
      <w:sz w:val="28"/>
      <w:szCs w:val="44"/>
    </w:rPr>
  </w:style>
  <w:style w:type="character" w:customStyle="1" w:styleId="141">
    <w:name w:val="标题 2 Char"/>
    <w:basedOn w:val="35"/>
    <w:link w:val="3"/>
    <w:qFormat/>
    <w:uiPriority w:val="0"/>
    <w:rPr>
      <w:rFonts w:eastAsia="黑体"/>
      <w:bCs/>
      <w:sz w:val="28"/>
      <w:szCs w:val="28"/>
    </w:rPr>
  </w:style>
  <w:style w:type="character" w:customStyle="1" w:styleId="142">
    <w:name w:val="标题 4 Char"/>
    <w:basedOn w:val="35"/>
    <w:link w:val="5"/>
    <w:qFormat/>
    <w:uiPriority w:val="0"/>
    <w:rPr>
      <w:rFonts w:ascii="Arial" w:hAnsi="Arial" w:eastAsia="黑体"/>
      <w:b/>
      <w:bCs/>
      <w:sz w:val="28"/>
      <w:szCs w:val="28"/>
    </w:rPr>
  </w:style>
  <w:style w:type="character" w:customStyle="1" w:styleId="143">
    <w:name w:val="标题 5 Char"/>
    <w:basedOn w:val="35"/>
    <w:link w:val="6"/>
    <w:qFormat/>
    <w:uiPriority w:val="0"/>
    <w:rPr>
      <w:b/>
      <w:bCs/>
      <w:sz w:val="28"/>
      <w:szCs w:val="28"/>
    </w:rPr>
  </w:style>
  <w:style w:type="character" w:customStyle="1" w:styleId="144">
    <w:name w:val="标题 6 Char"/>
    <w:basedOn w:val="35"/>
    <w:link w:val="7"/>
    <w:qFormat/>
    <w:uiPriority w:val="0"/>
    <w:rPr>
      <w:rFonts w:ascii="Arial" w:hAnsi="Arial" w:eastAsia="黑体"/>
      <w:b/>
      <w:bCs/>
      <w:sz w:val="24"/>
      <w:szCs w:val="21"/>
    </w:rPr>
  </w:style>
  <w:style w:type="character" w:customStyle="1" w:styleId="145">
    <w:name w:val="标题 7 Char"/>
    <w:basedOn w:val="35"/>
    <w:link w:val="8"/>
    <w:qFormat/>
    <w:uiPriority w:val="0"/>
    <w:rPr>
      <w:b/>
      <w:bCs/>
      <w:sz w:val="24"/>
      <w:szCs w:val="21"/>
    </w:rPr>
  </w:style>
  <w:style w:type="character" w:customStyle="1" w:styleId="146">
    <w:name w:val="标题 8 Char"/>
    <w:basedOn w:val="35"/>
    <w:link w:val="9"/>
    <w:qFormat/>
    <w:uiPriority w:val="0"/>
    <w:rPr>
      <w:rFonts w:ascii="Arial" w:hAnsi="Arial" w:eastAsia="黑体"/>
      <w:sz w:val="24"/>
      <w:szCs w:val="21"/>
    </w:rPr>
  </w:style>
  <w:style w:type="character" w:customStyle="1" w:styleId="147">
    <w:name w:val="标题 9 Char"/>
    <w:basedOn w:val="35"/>
    <w:link w:val="10"/>
    <w:qFormat/>
    <w:uiPriority w:val="0"/>
    <w:rPr>
      <w:rFonts w:ascii="Arial" w:hAnsi="Arial" w:eastAsia="黑体"/>
      <w:sz w:val="21"/>
      <w:szCs w:val="21"/>
    </w:rPr>
  </w:style>
  <w:style w:type="character" w:customStyle="1" w:styleId="148">
    <w:name w:val="批注文字 Char"/>
    <w:basedOn w:val="35"/>
    <w:link w:val="12"/>
    <w:semiHidden/>
    <w:qFormat/>
    <w:uiPriority w:val="0"/>
    <w:rPr>
      <w:sz w:val="21"/>
      <w:szCs w:val="21"/>
    </w:rPr>
  </w:style>
  <w:style w:type="character" w:customStyle="1" w:styleId="149">
    <w:name w:val="批注主题 Char"/>
    <w:basedOn w:val="148"/>
    <w:link w:val="11"/>
    <w:semiHidden/>
    <w:qFormat/>
    <w:uiPriority w:val="0"/>
    <w:rPr>
      <w:b/>
      <w:bCs/>
      <w:sz w:val="21"/>
      <w:szCs w:val="21"/>
    </w:rPr>
  </w:style>
  <w:style w:type="character" w:customStyle="1" w:styleId="150">
    <w:name w:val="文档结构图 Char"/>
    <w:basedOn w:val="35"/>
    <w:link w:val="15"/>
    <w:semiHidden/>
    <w:qFormat/>
    <w:uiPriority w:val="0"/>
    <w:rPr>
      <w:sz w:val="21"/>
      <w:szCs w:val="21"/>
      <w:shd w:val="clear" w:color="auto" w:fill="000080"/>
    </w:rPr>
  </w:style>
  <w:style w:type="character" w:customStyle="1" w:styleId="151">
    <w:name w:val="正文文本 Char"/>
    <w:basedOn w:val="35"/>
    <w:link w:val="16"/>
    <w:qFormat/>
    <w:uiPriority w:val="0"/>
    <w:rPr>
      <w:rFonts w:ascii="楷体_GB2312" w:eastAsia="仿宋_GB2312"/>
      <w:sz w:val="24"/>
      <w:szCs w:val="21"/>
    </w:rPr>
  </w:style>
  <w:style w:type="character" w:customStyle="1" w:styleId="152">
    <w:name w:val="正文文本缩进 Char"/>
    <w:basedOn w:val="35"/>
    <w:link w:val="17"/>
    <w:qFormat/>
    <w:uiPriority w:val="0"/>
    <w:rPr>
      <w:rFonts w:eastAsia="楷体_GB2312"/>
      <w:sz w:val="21"/>
      <w:szCs w:val="21"/>
    </w:rPr>
  </w:style>
  <w:style w:type="character" w:customStyle="1" w:styleId="153">
    <w:name w:val="纯文本 Char"/>
    <w:basedOn w:val="35"/>
    <w:link w:val="20"/>
    <w:qFormat/>
    <w:uiPriority w:val="0"/>
    <w:rPr>
      <w:rFonts w:ascii="宋体" w:hAnsi="Courier New"/>
      <w:sz w:val="21"/>
    </w:rPr>
  </w:style>
  <w:style w:type="character" w:customStyle="1" w:styleId="154">
    <w:name w:val="日期 Char"/>
    <w:basedOn w:val="35"/>
    <w:link w:val="22"/>
    <w:qFormat/>
    <w:uiPriority w:val="0"/>
    <w:rPr>
      <w:sz w:val="21"/>
      <w:szCs w:val="21"/>
    </w:rPr>
  </w:style>
  <w:style w:type="character" w:customStyle="1" w:styleId="155">
    <w:name w:val="正文文本缩进 2 Char"/>
    <w:basedOn w:val="35"/>
    <w:link w:val="23"/>
    <w:qFormat/>
    <w:uiPriority w:val="0"/>
    <w:rPr>
      <w:sz w:val="21"/>
      <w:szCs w:val="21"/>
    </w:rPr>
  </w:style>
  <w:style w:type="character" w:customStyle="1" w:styleId="156">
    <w:name w:val="批注框文本 Char"/>
    <w:basedOn w:val="35"/>
    <w:link w:val="24"/>
    <w:semiHidden/>
    <w:qFormat/>
    <w:uiPriority w:val="0"/>
    <w:rPr>
      <w:sz w:val="18"/>
      <w:szCs w:val="18"/>
    </w:rPr>
  </w:style>
  <w:style w:type="character" w:customStyle="1" w:styleId="157">
    <w:name w:val="页脚 Char"/>
    <w:basedOn w:val="35"/>
    <w:link w:val="25"/>
    <w:qFormat/>
    <w:uiPriority w:val="0"/>
    <w:rPr>
      <w:sz w:val="18"/>
      <w:szCs w:val="18"/>
    </w:rPr>
  </w:style>
  <w:style w:type="character" w:customStyle="1" w:styleId="158">
    <w:name w:val="页眉 Char"/>
    <w:basedOn w:val="35"/>
    <w:link w:val="26"/>
    <w:qFormat/>
    <w:uiPriority w:val="0"/>
    <w:rPr>
      <w:sz w:val="18"/>
      <w:szCs w:val="18"/>
    </w:rPr>
  </w:style>
  <w:style w:type="character" w:customStyle="1" w:styleId="159">
    <w:name w:val="正文文本缩进 3 Char"/>
    <w:basedOn w:val="35"/>
    <w:link w:val="30"/>
    <w:qFormat/>
    <w:uiPriority w:val="0"/>
    <w:rPr>
      <w:rFonts w:ascii="楷体_GB2312" w:eastAsia="仿宋_GB2312"/>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emf"/><Relationship Id="rId17" Type="http://schemas.openxmlformats.org/officeDocument/2006/relationships/image" Target="media/image7.emf"/><Relationship Id="rId16" Type="http://schemas.openxmlformats.org/officeDocument/2006/relationships/image" Target="media/image6.wmf"/><Relationship Id="rId15" Type="http://schemas.openxmlformats.org/officeDocument/2006/relationships/image" Target="media/image5.wmf"/><Relationship Id="rId14" Type="http://schemas.openxmlformats.org/officeDocument/2006/relationships/image" Target="media/image4.wmf"/><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image" Target="media/image1.emf"/><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5105;&#30340;&#25991;&#26723;\&#28151;&#20957;&#22303;&#32467;&#26500;&#24037;&#31243;&#26045;&#24037;&#35268;&#33539;\&#31532;&#20108;&#27425;&#20250;&#35758;&#21069;\3&#22522;&#26412;&#35268;&#23450;&#24037;&#20316;&#32452;\&#26631;&#20934;&#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F12622-BC4B-484C-A80F-FB2B6E144EB6}">
  <ds:schemaRefs/>
</ds:datastoreItem>
</file>

<file path=docProps/app.xml><?xml version="1.0" encoding="utf-8"?>
<Properties xmlns="http://schemas.openxmlformats.org/officeDocument/2006/extended-properties" xmlns:vt="http://schemas.openxmlformats.org/officeDocument/2006/docPropsVTypes">
  <Template>标准模板</Template>
  <Company>Sky123.Org</Company>
  <Pages>28</Pages>
  <Words>3337</Words>
  <Characters>19027</Characters>
  <Lines>158</Lines>
  <Paragraphs>44</Paragraphs>
  <TotalTime>10</TotalTime>
  <ScaleCrop>false</ScaleCrop>
  <LinksUpToDate>false</LinksUpToDate>
  <CharactersWithSpaces>22320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2018-07-12T03:17:00Z</dcterms:created>
  <dc:creator>潘文</dc:creator>
  <cp:lastModifiedBy>He</cp:lastModifiedBy>
  <cp:lastPrinted>2016-01-15T06:14:00Z</cp:lastPrinted>
  <dcterms:modified xsi:type="dcterms:W3CDTF">2018-07-27T08:18:42Z</dcterms:modified>
  <dc:title>昆明市透水砖地面应用技术导则</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2052-10.1.0.7400</vt:lpwstr>
  </property>
</Properties>
</file>