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" w:hAnsi="仿宋" w:eastAsia="仿宋" w:cs="仿宋"/>
          <w:b/>
          <w:bCs/>
          <w:kern w:val="0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t>附件2</w:t>
      </w:r>
    </w:p>
    <w:p>
      <w:pPr>
        <w:widowControl/>
        <w:ind w:firstLine="600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2017年度全国勘察设计注册工程师考试有关注意事项</w:t>
      </w:r>
    </w:p>
    <w:p>
      <w:pPr>
        <w:shd w:val="clear" w:color="auto" w:fill="FFFFFF"/>
        <w:spacing w:line="360" w:lineRule="atLeast"/>
        <w:ind w:firstLine="682" w:firstLineChars="213"/>
        <w:rPr>
          <w:rFonts w:hint="eastAsia" w:ascii="仿宋" w:hAnsi="仿宋" w:eastAsia="仿宋" w:cs="仿宋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一、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雷同卷的认定：依据人社部令第31号规定，在考试结束后将进行雷同试卷认定和处理，被认定雷同作答信息的试卷，当次科目成绩无效。对有违纪违规行为的应考人员，按人社部令第31号处理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特别提醒考生，严守考试纪律，自觉诚信参考。</w:t>
      </w:r>
    </w:p>
    <w:p>
      <w:pPr>
        <w:widowControl/>
        <w:ind w:firstLine="600" w:firstLineChars="200"/>
        <w:jc w:val="left"/>
        <w:rPr>
          <w:rFonts w:ascii="仿宋" w:hAnsi="仿宋" w:eastAsia="仿宋" w:cs="仿宋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lang w:val="en-US" w:eastAsia="zh-CN"/>
        </w:rPr>
        <w:t>二、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</w:rPr>
        <w:t>考生应考时应携带2B铅笔、黑色墨水笔、三角板、橡皮以及无声无文本编辑功能的计算器。并严格按照试卷方面的应试人员注意事项作答。考试用草稿纸统一配发，考后收回。各专业的基础考试均为闭卷考试，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lang w:val="en-US" w:eastAsia="zh-CN"/>
        </w:rPr>
        <w:t>考试时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</w:rPr>
        <w:t>禁止携带任何参考资料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lang w:val="en-US" w:eastAsia="zh-CN"/>
        </w:rPr>
        <w:t>进考场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</w:rPr>
        <w:t>；各专业的专业考试为开卷考试，允许考生携带与考试有关的规范、手册等各种资料。</w:t>
      </w:r>
    </w:p>
    <w:p>
      <w:pPr>
        <w:widowControl/>
        <w:ind w:firstLine="600" w:firstLineChars="200"/>
        <w:jc w:val="left"/>
        <w:rPr>
          <w:rFonts w:ascii="仿宋" w:hAnsi="仿宋" w:eastAsia="仿宋" w:cs="仿宋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lang w:val="en-US" w:eastAsia="zh-CN"/>
        </w:rPr>
        <w:t>三、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</w:rPr>
        <w:t>各专业的专业考试主要推荐规范、标准、规程、技术（设计）手册目录可登录云南省勘察设计咨询业管理信息网（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u w:val="single"/>
        </w:rPr>
        <w:t>www.ynjst.gov.cn:84/nkcsj/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</w:rPr>
        <w:t>）或</w:t>
      </w:r>
      <w:r>
        <w:rPr>
          <w:rFonts w:eastAsia="仿宋"/>
          <w:color w:val="auto"/>
          <w:sz w:val="32"/>
          <w:szCs w:val="32"/>
        </w:rPr>
        <w:t>住房和城乡建设部执业资格注册中心官网（</w:t>
      </w:r>
      <w:r>
        <w:rPr>
          <w:rFonts w:hint="eastAsia" w:ascii="仿宋" w:hAnsi="仿宋" w:eastAsia="仿宋" w:cs="仿宋"/>
          <w:color w:val="auto"/>
        </w:rPr>
        <w:fldChar w:fldCharType="begin"/>
      </w:r>
      <w:r>
        <w:rPr>
          <w:rFonts w:hint="eastAsia" w:ascii="仿宋" w:hAnsi="仿宋" w:eastAsia="仿宋" w:cs="仿宋"/>
          <w:color w:val="auto"/>
        </w:rPr>
        <w:instrText xml:space="preserve"> HYPERLINK "http://www.pqrc.org.cn" </w:instrText>
      </w:r>
      <w:r>
        <w:rPr>
          <w:rFonts w:hint="eastAsia" w:ascii="仿宋" w:hAnsi="仿宋" w:eastAsia="仿宋" w:cs="仿宋"/>
          <w:color w:val="auto"/>
        </w:rPr>
        <w:fldChar w:fldCharType="separate"/>
      </w:r>
      <w:r>
        <w:rPr>
          <w:rStyle w:val="3"/>
          <w:rFonts w:hint="eastAsia" w:ascii="仿宋" w:hAnsi="仿宋" w:eastAsia="仿宋" w:cs="仿宋"/>
          <w:color w:val="auto"/>
          <w:sz w:val="32"/>
          <w:szCs w:val="32"/>
        </w:rPr>
        <w:t>www.pqrc.org.cn</w:t>
      </w:r>
      <w:r>
        <w:rPr>
          <w:rStyle w:val="3"/>
          <w:rFonts w:hint="eastAsia" w:ascii="仿宋" w:hAnsi="仿宋" w:eastAsia="仿宋" w:cs="仿宋"/>
          <w:color w:val="auto"/>
          <w:sz w:val="32"/>
          <w:szCs w:val="32"/>
        </w:rPr>
        <w:fldChar w:fldCharType="end"/>
      </w:r>
      <w:r>
        <w:rPr>
          <w:rStyle w:val="3"/>
          <w:rFonts w:eastAsia="仿宋"/>
          <w:color w:val="auto"/>
          <w:sz w:val="32"/>
          <w:szCs w:val="32"/>
          <w:u w:val="none"/>
        </w:rPr>
        <w:t>中的</w:t>
      </w:r>
      <w:r>
        <w:rPr>
          <w:rFonts w:eastAsia="仿宋"/>
          <w:color w:val="auto"/>
          <w:sz w:val="32"/>
          <w:szCs w:val="32"/>
        </w:rPr>
        <w:t>考试动态）查询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</w:rPr>
        <w:t>。</w:t>
      </w:r>
    </w:p>
    <w:p>
      <w:pPr>
        <w:widowControl/>
        <w:ind w:firstLine="600" w:firstLineChars="200"/>
        <w:jc w:val="left"/>
        <w:rPr>
          <w:rFonts w:ascii="仿宋" w:hAnsi="仿宋" w:eastAsia="仿宋" w:cs="仿宋"/>
          <w:color w:val="auto"/>
          <w:kern w:val="0"/>
          <w:sz w:val="30"/>
          <w:szCs w:val="30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lang w:val="en-US" w:eastAsia="zh-CN"/>
        </w:rPr>
        <w:t>四、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客观题用2B铅笔在答题卡上填涂作答，主观题按要求在专用答题卡上作答。考生在作答时应注意：（1）答题前要仔细阅读应试人员注意事项（试卷封二）和作答须知（专用答题卡首页）；（2）使用规定的作答工具作答；（3）在专用答题卡划定的区域内作答；（4）在题本上作答一律无效。不按要求和规定作答造成的后果自行承担。</w:t>
      </w:r>
    </w:p>
    <w:p>
      <w:pPr>
        <w:widowControl/>
        <w:shd w:val="clear" w:color="auto" w:fill="FFFFFF"/>
        <w:spacing w:line="360" w:lineRule="atLeast"/>
        <w:ind w:firstLine="640"/>
        <w:jc w:val="left"/>
        <w:rPr>
          <w:rFonts w:ascii="����" w:hAnsi="����" w:eastAsia="宋体" w:cs="宋体"/>
          <w:color w:val="auto"/>
          <w:kern w:val="0"/>
          <w:sz w:val="18"/>
          <w:szCs w:val="18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lang w:val="en-US" w:eastAsia="zh-CN"/>
        </w:rPr>
        <w:t>五、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考生应考时，应携带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准考证和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有效身份证件（包括二代身份证、临时身份证或其他与报名信息一致的有效身份证件），两证不全或信息不一致的，不得参考。</w:t>
      </w:r>
    </w:p>
    <w:p>
      <w:pPr>
        <w:widowControl/>
        <w:shd w:val="clear" w:color="auto" w:fill="FFFFFF"/>
        <w:spacing w:line="360" w:lineRule="atLeast"/>
        <w:ind w:firstLine="640"/>
        <w:jc w:val="left"/>
        <w:rPr>
          <w:rFonts w:ascii="����" w:hAnsi="����" w:eastAsia="宋体" w:cs="宋体"/>
          <w:color w:val="auto"/>
          <w:kern w:val="0"/>
          <w:sz w:val="18"/>
          <w:szCs w:val="18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考生报名时填报的“证件类型”一栏为其他证件的（如军官证等），“证件号码”一栏应填写相应证件号码，考试时必须携带相应证件原件。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����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roman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50311"/>
    <w:rsid w:val="1DF5031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云南省住房和城乡建设厅</Company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2017-06-28T03:44:00Z</dcterms:created>
  <dc:creator>cp</dc:creator>
  <cp:lastModifiedBy>cp</cp:lastModifiedBy>
  <dcterms:modified xsi:type="dcterms:W3CDTF">2017-06-28T03:45:02Z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